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广西北部湾银行跨境汇路指引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70B2D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70B2D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70B2D"/>
          <w:spacing w:val="0"/>
          <w:sz w:val="32"/>
          <w:szCs w:val="32"/>
          <w:highlight w:val="none"/>
          <w:shd w:val="clear" w:fill="FFFFFF"/>
          <w:lang w:val="en-US" w:eastAsia="zh-CN"/>
        </w:rPr>
        <w:t>一、外币跨境汇款线路指引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70B2D"/>
          <w:spacing w:val="0"/>
          <w:sz w:val="28"/>
          <w:szCs w:val="28"/>
          <w:highlight w:val="none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70B2D"/>
          <w:spacing w:val="0"/>
          <w:sz w:val="28"/>
          <w:szCs w:val="28"/>
          <w:highlight w:val="none"/>
          <w:shd w:val="clear" w:fill="FFFFFF"/>
        </w:rPr>
        <w:t>目前我行可提供美元、港币、欧元、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70B2D"/>
          <w:spacing w:val="0"/>
          <w:sz w:val="28"/>
          <w:szCs w:val="28"/>
          <w:highlight w:val="none"/>
          <w:shd w:val="clear" w:fill="FFFFFF"/>
          <w:lang w:val="en-US" w:eastAsia="zh-CN"/>
        </w:rPr>
        <w:t>澳元、泰铢、瑞尔六种</w:t>
      </w:r>
      <w:r>
        <w:rPr>
          <w:rFonts w:ascii="微软雅黑" w:hAnsi="微软雅黑" w:eastAsia="微软雅黑" w:cs="微软雅黑"/>
          <w:i w:val="0"/>
          <w:iCs w:val="0"/>
          <w:caps w:val="0"/>
          <w:color w:val="070B2D"/>
          <w:spacing w:val="0"/>
          <w:sz w:val="28"/>
          <w:szCs w:val="28"/>
          <w:highlight w:val="none"/>
          <w:shd w:val="clear" w:fill="FFFFFF"/>
        </w:rPr>
        <w:t>外币币种的结算服务，帐户行信息如下：</w:t>
      </w:r>
    </w:p>
    <w:tbl>
      <w:tblPr>
        <w:tblStyle w:val="4"/>
        <w:tblW w:w="7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6"/>
        <w:gridCol w:w="1364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t>账户行名称</w:t>
            </w:r>
          </w:p>
        </w:tc>
        <w:tc>
          <w:tcPr>
            <w:tcW w:w="136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t>币种</w:t>
            </w:r>
          </w:p>
        </w:tc>
        <w:tc>
          <w:tcPr>
            <w:tcW w:w="244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t>SWIFT代码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358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JPMORGAN CHASE BANK, NATIONAL ASSOCIATION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摩根大通银行</w:t>
            </w:r>
          </w:p>
        </w:tc>
        <w:tc>
          <w:tcPr>
            <w:tcW w:w="136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u w:val="none"/>
              </w:rPr>
              <w:t>USD</w:t>
            </w:r>
          </w:p>
        </w:tc>
        <w:tc>
          <w:tcPr>
            <w:tcW w:w="24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u w:val="none"/>
              </w:rPr>
              <w:t>CHASUS33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586" w:type="dxa"/>
          </w:tcPr>
          <w:p>
            <w:pPr>
              <w:ind w:left="537" w:hanging="720" w:hangingChars="3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INDUSTRIAL BANK CO., LTD. HONG KONG BRANCH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兴业银行香港分行</w:t>
            </w:r>
          </w:p>
        </w:tc>
        <w:tc>
          <w:tcPr>
            <w:tcW w:w="1364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bidi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HKD</w:t>
            </w:r>
          </w:p>
        </w:tc>
        <w:tc>
          <w:tcPr>
            <w:tcW w:w="244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FJIBHKHH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Bank of China Limited Frankfurt Branch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中国银行法兰克福分行</w:t>
            </w:r>
          </w:p>
        </w:tc>
        <w:tc>
          <w:tcPr>
            <w:tcW w:w="136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EUR</w:t>
            </w:r>
          </w:p>
        </w:tc>
        <w:tc>
          <w:tcPr>
            <w:tcW w:w="244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BKCHDEFF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INDUSTRIAL AND COMMERCIAL BANK OF CHINA SYDNEY BRANCH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中国工商银行悉尼分行</w:t>
            </w:r>
          </w:p>
        </w:tc>
        <w:tc>
          <w:tcPr>
            <w:tcW w:w="136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AUD</w:t>
            </w:r>
          </w:p>
        </w:tc>
        <w:tc>
          <w:tcPr>
            <w:tcW w:w="244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ICBKAU2S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58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KASIKORNBANK（China）Company Limited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开泰银行（中国）有限公司</w:t>
            </w:r>
          </w:p>
        </w:tc>
        <w:tc>
          <w:tcPr>
            <w:tcW w:w="136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THB</w:t>
            </w:r>
          </w:p>
        </w:tc>
        <w:tc>
          <w:tcPr>
            <w:tcW w:w="244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KASICNBS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586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Canadia Bank Plc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柬埔寨加华银行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KHR</w:t>
            </w:r>
          </w:p>
        </w:tc>
        <w:tc>
          <w:tcPr>
            <w:tcW w:w="2441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CADIKHPP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70B2D"/>
          <w:spacing w:val="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70B2D"/>
          <w:spacing w:val="0"/>
          <w:kern w:val="0"/>
          <w:sz w:val="18"/>
          <w:szCs w:val="18"/>
          <w:highlight w:val="none"/>
          <w:u w:val="none"/>
          <w:lang w:val="en-US" w:eastAsia="zh-CN" w:bidi="ar"/>
        </w:rPr>
        <w:t xml:space="preserve">  </w:t>
      </w: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70B2D"/>
          <w:spacing w:val="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b/>
          <w:bCs/>
          <w:sz w:val="1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384810</wp:posOffset>
                </wp:positionV>
                <wp:extent cx="182880" cy="182880"/>
                <wp:effectExtent l="6350" t="15240" r="20320" b="30480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4310" y="5930265"/>
                          <a:ext cx="182880" cy="1828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17.6pt;margin-top:30.3pt;height:14.4pt;width:14.4pt;z-index:251659264;v-text-anchor:middle;mso-width-relative:page;mso-height-relative:page;" fillcolor="#5B9BD5 [3204]" filled="t" stroked="t" coordsize="21600,21600" o:gfxdata="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mQ6DI9sAAAAIAQAADwAAAAAAAAABACAAAAAi&#10;AAAAZHJzL2Rvd25yZXYueG1sUEsBAhQAFAAAAAgAh07iQBXkttd5AgAA2wQAAA4AAAAAAAAAAQAg&#10;AAAAKgEAAGRycy9lMm9Eb2MueG1sUEsFBgAAAAAGAAYAWQEAABUGAAAAAA=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70B2D"/>
          <w:spacing w:val="0"/>
          <w:kern w:val="0"/>
          <w:sz w:val="28"/>
          <w:szCs w:val="28"/>
          <w:highlight w:val="none"/>
          <w:u w:val="none"/>
          <w:lang w:val="en-US" w:eastAsia="zh-CN" w:bidi="ar"/>
        </w:rPr>
        <w:t>外币汇入汇款指示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70B2D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70B2D"/>
          <w:spacing w:val="0"/>
          <w:sz w:val="28"/>
          <w:szCs w:val="28"/>
          <w:highlight w:val="none"/>
          <w:shd w:val="clear" w:fill="FFFFFF"/>
          <w:lang w:val="en-US" w:eastAsia="zh-CN"/>
        </w:rPr>
        <w:t>通过我行收取外币汇入汇款，境外汇款人向其汇款行提供如下信息：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收款银行：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GUANGXI BEIBU GULF BANK CO.,LTD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SWIFT CODE:BGBKCNBJ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收款银行地址：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ADD:BLOCK A WUXIANG HEADQUATERS TOWER,8 YUNYING RD,NANNING,GUANGXI,CHINA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收款人账号：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single"/>
          <w:lang w:val="en-US" w:eastAsia="zh-CN"/>
        </w:rPr>
        <w:t xml:space="preserve">   XXXXXXXXXXXXXX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none"/>
          <w:lang w:val="en-US" w:eastAsia="zh-CN"/>
        </w:rPr>
        <w:t>收款人名称及地址（英文）: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single"/>
          <w:lang w:val="en-US" w:eastAsia="zh-CN"/>
        </w:rPr>
        <w:t xml:space="preserve">  XXX,   ADD:XXXXXXX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none"/>
          <w:lang w:val="en-US" w:eastAsia="zh-CN"/>
        </w:rPr>
        <w:t>对应币种的账户行：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none"/>
          <w:lang w:val="en-US" w:eastAsia="zh-CN"/>
        </w:rPr>
        <w:t>SWIFT CODE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70B2D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70B2D"/>
          <w:spacing w:val="0"/>
          <w:sz w:val="32"/>
          <w:szCs w:val="32"/>
          <w:highlight w:val="none"/>
          <w:shd w:val="clear" w:fill="FFFFFF"/>
          <w:lang w:val="en-US" w:eastAsia="zh-CN"/>
        </w:rPr>
        <w:t>二、人民币跨境汇款线路指引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594"/>
        <w:gridCol w:w="266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t>账户行名称</w:t>
            </w:r>
          </w:p>
        </w:tc>
        <w:tc>
          <w:tcPr>
            <w:tcW w:w="159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t>币种</w:t>
            </w:r>
          </w:p>
        </w:tc>
        <w:tc>
          <w:tcPr>
            <w:tcW w:w="266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t>SWIFT代码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29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GUANGXI BEIBU GULF BANK CO.,LTD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广西北部湾银行</w:t>
            </w:r>
          </w:p>
        </w:tc>
        <w:tc>
          <w:tcPr>
            <w:tcW w:w="159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CNY</w:t>
            </w:r>
          </w:p>
        </w:tc>
        <w:tc>
          <w:tcPr>
            <w:tcW w:w="266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BGBKCNBJ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70B2D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70B2D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跨境人民币支付系统（CIPS）直接参与行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70B2D"/>
          <w:spacing w:val="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70B2D"/>
          <w:spacing w:val="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70B2D"/>
          <w:spacing w:val="0"/>
          <w:kern w:val="0"/>
          <w:sz w:val="28"/>
          <w:szCs w:val="28"/>
          <w:highlight w:val="none"/>
          <w:u w:val="none"/>
          <w:lang w:val="en-US" w:eastAsia="zh-CN" w:bidi="ar"/>
        </w:rPr>
        <w:t>跨境人民币汇入汇款指示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70B2D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70B2D"/>
          <w:spacing w:val="0"/>
          <w:sz w:val="28"/>
          <w:szCs w:val="28"/>
          <w:highlight w:val="none"/>
          <w:shd w:val="clear" w:fill="FFFFFF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20955</wp:posOffset>
                </wp:positionV>
                <wp:extent cx="182880" cy="182880"/>
                <wp:effectExtent l="6350" t="15240" r="20320" b="30480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19.45pt;margin-top:1.65pt;height:14.4pt;width:14.4pt;z-index:251660288;v-text-anchor:middle;mso-width-relative:page;mso-height-relative:page;" fillcolor="#5B9BD5 [3204]" filled="t" stroked="t" coordsize="21600,21600" o:gfxdata="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pqZ3j2QAAAAgBAAAPAAAAAAAAAAEAIAAAACIAAABkcnMvZG93bnJldi54&#10;bWxQSwECFAAUAAAACACHTuJA1AWLMGsCAADPBAAADgAAAAAAAAABACAAAAAoAQAAZHJzL2Uyb0Rv&#10;Yy54bWxQSwUGAAAAAAYABgBZAQAABQ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70B2D"/>
          <w:spacing w:val="0"/>
          <w:sz w:val="28"/>
          <w:szCs w:val="28"/>
          <w:highlight w:val="none"/>
          <w:shd w:val="clear" w:fill="FFFFFF"/>
          <w:lang w:val="en-US" w:eastAsia="zh-CN"/>
        </w:rPr>
        <w:t>通过CIPS系统收取跨境人民币汇入汇款，境外汇款人向其汇款行提供如下信息：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1.收款银行：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广西北部湾银行股份有限公司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GUANGXI BEIBU GULF BANK CO.,LTD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SWIFT CODE:BGBKCNBJ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收款人账号：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single"/>
          <w:lang w:val="en-US" w:eastAsia="zh-CN"/>
        </w:rPr>
        <w:t xml:space="preserve">  XXXXXXXXXXXXX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none"/>
          <w:lang w:val="en-US" w:eastAsia="zh-CN"/>
        </w:rPr>
        <w:t>3.收款人名称及地址（英文）：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18"/>
          <w:highlight w:val="none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18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u w:val="single"/>
          <w:lang w:val="en-US" w:eastAsia="zh-CN"/>
        </w:rPr>
        <w:t xml:space="preserve"> XXX,   ADD:XXXXXXX </w:t>
      </w:r>
      <w:r>
        <w:rPr>
          <w:rFonts w:hint="eastAsia" w:ascii="方正仿宋_GBK" w:hAnsi="方正仿宋_GBK" w:eastAsia="方正仿宋_GBK" w:cs="方正仿宋_GBK"/>
          <w:b/>
          <w:bCs/>
          <w:sz w:val="18"/>
          <w:highlight w:val="none"/>
          <w:u w:val="single"/>
          <w:lang w:val="en-US" w:eastAsia="zh-CN"/>
        </w:rPr>
        <w:t xml:space="preserve">       </w:t>
      </w:r>
    </w:p>
    <w:p>
      <w:pPr>
        <w:rPr>
          <w:rFonts w:hint="default"/>
          <w:sz w:val="18"/>
          <w:highlight w:val="none"/>
          <w:u w:val="none"/>
          <w:lang w:val="en-US" w:eastAsia="zh-CN"/>
        </w:rPr>
      </w:pPr>
    </w:p>
    <w:p>
      <w:pPr>
        <w:rPr>
          <w:rFonts w:hint="default"/>
          <w:sz w:val="1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以上信息从2025年10月27日开始生效。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070B2D"/>
          <w:spacing w:val="0"/>
          <w:kern w:val="0"/>
          <w:sz w:val="18"/>
          <w:szCs w:val="18"/>
          <w:highlight w:val="none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F47ED"/>
    <w:multiLevelType w:val="singleLevel"/>
    <w:tmpl w:val="469F47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AF16CD"/>
    <w:multiLevelType w:val="singleLevel"/>
    <w:tmpl w:val="58AF16C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33F54"/>
    <w:rsid w:val="0B3050AA"/>
    <w:rsid w:val="0E4A0172"/>
    <w:rsid w:val="0EE213FB"/>
    <w:rsid w:val="130A7C5B"/>
    <w:rsid w:val="15720F68"/>
    <w:rsid w:val="1B533F54"/>
    <w:rsid w:val="1BD521D3"/>
    <w:rsid w:val="30CB379B"/>
    <w:rsid w:val="34F22FAF"/>
    <w:rsid w:val="497711CA"/>
    <w:rsid w:val="56876BFA"/>
    <w:rsid w:val="5A397C03"/>
    <w:rsid w:val="5C0709ED"/>
    <w:rsid w:val="66182F6E"/>
    <w:rsid w:val="727C6E60"/>
    <w:rsid w:val="76F51E90"/>
    <w:rsid w:val="777D29A7"/>
    <w:rsid w:val="7A930A82"/>
    <w:rsid w:val="7D2D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2025-10-15T01:16:00Z</dcterms:created>
  <dc:creator>昊翔</dc:creator>
  <cp:lastModifiedBy>施方玲</cp:lastModifiedBy>
  <dcterms:modified xsi:type="dcterms:W3CDTF">2025-10-22T02:48:08Z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647D653804834BF19138E05642DE425A</vt:lpwstr>
  </property>
</Properties>
</file>