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5"/>
        <w:jc w:val="center"/>
        <w:rPr>
          <w:rFonts w:ascii="方正仿宋_GBK" w:hAnsi="方正仿宋_GBK" w:eastAsia="方正仿宋_GBK" w:cs="方正仿宋_GBK"/>
          <w:b/>
        </w:rPr>
      </w:pPr>
    </w:p>
    <w:p>
      <w:pPr>
        <w:pStyle w:val="22"/>
        <w:ind w:firstLine="5"/>
        <w:jc w:val="center"/>
        <w:rPr>
          <w:rFonts w:ascii="方正仿宋_GBK" w:hAnsi="方正仿宋_GBK" w:eastAsia="方正仿宋_GBK" w:cs="方正仿宋_GBK"/>
          <w:b/>
        </w:rPr>
      </w:pPr>
    </w:p>
    <w:p>
      <w:pPr>
        <w:pStyle w:val="22"/>
        <w:ind w:firstLine="5"/>
        <w:jc w:val="center"/>
        <w:rPr>
          <w:rFonts w:ascii="方正仿宋_GBK" w:hAnsi="方正仿宋_GBK" w:eastAsia="方正仿宋_GBK" w:cs="方正仿宋_GBK"/>
          <w:b/>
        </w:rPr>
      </w:pPr>
    </w:p>
    <w:p>
      <w:pPr>
        <w:pStyle w:val="22"/>
        <w:ind w:firstLine="5"/>
        <w:jc w:val="center"/>
        <w:rPr>
          <w:rFonts w:ascii="方正仿宋_GBK" w:hAnsi="方正仿宋_GBK" w:eastAsia="方正仿宋_GBK" w:cs="方正仿宋_GBK"/>
          <w:b/>
        </w:rPr>
      </w:pPr>
    </w:p>
    <w:p>
      <w:pPr>
        <w:pStyle w:val="22"/>
        <w:ind w:firstLine="5"/>
        <w:jc w:val="center"/>
        <w:rPr>
          <w:rFonts w:ascii="方正仿宋_GBK" w:hAnsi="方正仿宋_GBK" w:eastAsia="方正仿宋_GBK" w:cs="方正仿宋_GBK"/>
          <w:b/>
        </w:rPr>
      </w:pPr>
    </w:p>
    <w:p>
      <w:pPr>
        <w:pStyle w:val="22"/>
        <w:ind w:firstLine="5"/>
        <w:jc w:val="center"/>
        <w:rPr>
          <w:rFonts w:ascii="方正仿宋_GBK" w:hAnsi="方正仿宋_GBK" w:eastAsia="方正仿宋_GBK" w:cs="方正仿宋_GBK"/>
          <w:b/>
        </w:rPr>
      </w:pPr>
    </w:p>
    <w:p>
      <w:pPr>
        <w:pStyle w:val="22"/>
        <w:ind w:firstLine="5"/>
        <w:jc w:val="center"/>
        <w:rPr>
          <w:rFonts w:ascii="方正仿宋_GBK" w:hAnsi="方正仿宋_GBK" w:eastAsia="方正仿宋_GBK" w:cs="方正仿宋_GBK"/>
          <w:sz w:val="30"/>
          <w:szCs w:val="72"/>
        </w:rPr>
      </w:pPr>
    </w:p>
    <w:p>
      <w:pPr>
        <w:pStyle w:val="22"/>
        <w:jc w:val="center"/>
        <w:rPr>
          <w:rFonts w:ascii="方正仿宋_GBK" w:hAnsi="方正仿宋_GBK" w:eastAsia="方正仿宋_GBK" w:cs="方正仿宋_GBK"/>
          <w:b/>
          <w:spacing w:val="-18"/>
          <w:sz w:val="96"/>
        </w:rPr>
      </w:pPr>
    </w:p>
    <w:p>
      <w:pPr>
        <w:pStyle w:val="22"/>
        <w:jc w:val="center"/>
        <w:rPr>
          <w:rFonts w:ascii="方正仿宋_GBK" w:hAnsi="方正仿宋_GBK" w:eastAsia="方正仿宋_GBK" w:cs="方正仿宋_GBK"/>
          <w:sz w:val="72"/>
          <w:szCs w:val="72"/>
        </w:rPr>
      </w:pPr>
      <w:r>
        <w:rPr>
          <w:rFonts w:hint="eastAsia" w:ascii="方正仿宋_GBK" w:hAnsi="方正仿宋_GBK" w:eastAsia="方正仿宋_GBK" w:cs="方正仿宋_GBK"/>
          <w:b/>
          <w:bCs/>
          <w:sz w:val="72"/>
          <w:szCs w:val="72"/>
        </w:rPr>
        <w:t>竞争性磋商采购文件</w:t>
      </w:r>
    </w:p>
    <w:p>
      <w:pPr>
        <w:pStyle w:val="22"/>
        <w:rPr>
          <w:rFonts w:ascii="方正仿宋_GBK" w:hAnsi="方正仿宋_GBK" w:eastAsia="方正仿宋_GBK" w:cs="方正仿宋_GBK"/>
          <w:b/>
        </w:rPr>
      </w:pPr>
    </w:p>
    <w:p>
      <w:pPr>
        <w:pStyle w:val="22"/>
        <w:rPr>
          <w:rFonts w:ascii="方正仿宋_GBK" w:hAnsi="方正仿宋_GBK" w:eastAsia="方正仿宋_GBK" w:cs="方正仿宋_GBK"/>
          <w:b/>
        </w:rPr>
      </w:pPr>
    </w:p>
    <w:p>
      <w:pPr>
        <w:pStyle w:val="22"/>
        <w:rPr>
          <w:rFonts w:ascii="方正仿宋_GBK" w:hAnsi="方正仿宋_GBK" w:eastAsia="方正仿宋_GBK" w:cs="方正仿宋_GBK"/>
          <w:b/>
        </w:rPr>
      </w:pPr>
    </w:p>
    <w:p>
      <w:pPr>
        <w:pStyle w:val="22"/>
        <w:rPr>
          <w:rFonts w:ascii="方正仿宋_GBK" w:hAnsi="方正仿宋_GBK" w:eastAsia="方正仿宋_GBK" w:cs="方正仿宋_GBK"/>
          <w:b/>
        </w:rPr>
      </w:pPr>
    </w:p>
    <w:p>
      <w:pPr>
        <w:pStyle w:val="22"/>
        <w:rPr>
          <w:rFonts w:ascii="方正仿宋_GBK" w:hAnsi="方正仿宋_GBK" w:eastAsia="方正仿宋_GBK" w:cs="方正仿宋_GBK"/>
          <w:b/>
        </w:rPr>
      </w:pPr>
    </w:p>
    <w:p>
      <w:pPr>
        <w:pStyle w:val="22"/>
        <w:rPr>
          <w:rFonts w:ascii="方正仿宋_GBK" w:hAnsi="方正仿宋_GBK" w:eastAsia="方正仿宋_GBK" w:cs="方正仿宋_GBK"/>
          <w:b/>
        </w:rPr>
      </w:pPr>
    </w:p>
    <w:p>
      <w:pPr>
        <w:pStyle w:val="22"/>
        <w:rPr>
          <w:rFonts w:ascii="方正仿宋_GBK" w:hAnsi="方正仿宋_GBK" w:eastAsia="方正仿宋_GBK" w:cs="方正仿宋_GBK"/>
          <w:b/>
        </w:rPr>
      </w:pPr>
    </w:p>
    <w:p>
      <w:pPr>
        <w:pStyle w:val="22"/>
        <w:rPr>
          <w:rFonts w:ascii="方正仿宋_GBK" w:hAnsi="方正仿宋_GBK" w:eastAsia="方正仿宋_GBK" w:cs="方正仿宋_GBK"/>
          <w:b/>
        </w:rPr>
      </w:pPr>
    </w:p>
    <w:p>
      <w:pPr>
        <w:pStyle w:val="22"/>
        <w:ind w:firstLine="0" w:firstLineChars="0"/>
        <w:rPr>
          <w:rFonts w:ascii="方正仿宋_GBK" w:hAnsi="方正仿宋_GBK" w:eastAsia="方正仿宋_GBK" w:cs="方正仿宋_GBK"/>
          <w:bCs/>
          <w:sz w:val="30"/>
          <w:szCs w:val="72"/>
        </w:rPr>
      </w:pPr>
      <w:r>
        <w:rPr>
          <w:rFonts w:hint="eastAsia" w:ascii="方正仿宋_GBK" w:hAnsi="方正仿宋_GBK" w:eastAsia="方正仿宋_GBK" w:cs="方正仿宋_GBK"/>
          <w:bCs/>
          <w:sz w:val="30"/>
          <w:szCs w:val="72"/>
        </w:rPr>
        <w:t>项目名称：</w:t>
      </w:r>
      <w:r>
        <w:rPr>
          <w:rFonts w:hint="eastAsia" w:ascii="方正仿宋_GBK" w:hAnsi="方正仿宋_GBK" w:eastAsia="方正仿宋_GBK" w:cs="方正仿宋_GBK"/>
          <w:b w:val="0"/>
          <w:bCs/>
          <w:sz w:val="30"/>
          <w:szCs w:val="30"/>
        </w:rPr>
        <w:t>广西北部湾银行</w:t>
      </w:r>
      <w:r>
        <w:rPr>
          <w:rFonts w:hint="eastAsia" w:ascii="方正仿宋_GBK" w:hAnsi="方正仿宋_GBK" w:eastAsia="方正仿宋_GBK" w:cs="方正仿宋_GBK"/>
          <w:b w:val="0"/>
          <w:bCs/>
          <w:sz w:val="30"/>
          <w:szCs w:val="30"/>
          <w:lang w:eastAsia="zh-CN"/>
        </w:rPr>
        <w:t>理财业务及理财产品</w:t>
      </w:r>
      <w:r>
        <w:rPr>
          <w:rFonts w:hint="eastAsia" w:ascii="方正仿宋_GBK" w:hAnsi="方正仿宋_GBK" w:eastAsia="方正仿宋_GBK" w:cs="方正仿宋_GBK"/>
          <w:b w:val="0"/>
          <w:bCs/>
          <w:sz w:val="30"/>
          <w:szCs w:val="30"/>
        </w:rPr>
        <w:t>外部审计</w:t>
      </w:r>
      <w:r>
        <w:rPr>
          <w:rFonts w:hint="eastAsia" w:ascii="方正仿宋_GBK" w:hAnsi="方正仿宋_GBK" w:eastAsia="方正仿宋_GBK" w:cs="方正仿宋_GBK"/>
          <w:bCs/>
          <w:sz w:val="30"/>
          <w:szCs w:val="72"/>
        </w:rPr>
        <w:t>项目</w:t>
      </w:r>
    </w:p>
    <w:p>
      <w:pPr>
        <w:pStyle w:val="22"/>
        <w:ind w:firstLine="0" w:firstLineChars="0"/>
        <w:rPr>
          <w:rFonts w:hint="default" w:ascii="方正仿宋_GBK" w:hAnsi="方正仿宋_GBK" w:eastAsia="方正仿宋_GBK" w:cs="方正仿宋_GBK"/>
          <w:bCs/>
          <w:sz w:val="30"/>
          <w:szCs w:val="72"/>
          <w:lang w:val="en-US" w:eastAsia="zh-CN"/>
        </w:rPr>
      </w:pPr>
      <w:r>
        <w:rPr>
          <w:rFonts w:hint="eastAsia" w:ascii="方正仿宋_GBK" w:hAnsi="方正仿宋_GBK" w:eastAsia="方正仿宋_GBK" w:cs="方正仿宋_GBK"/>
          <w:bCs/>
          <w:sz w:val="30"/>
          <w:szCs w:val="72"/>
        </w:rPr>
        <w:t>项目编号：2024</w:t>
      </w:r>
      <w:r>
        <w:rPr>
          <w:rFonts w:hint="eastAsia" w:ascii="方正仿宋_GBK" w:hAnsi="方正仿宋_GBK" w:eastAsia="方正仿宋_GBK" w:cs="方正仿宋_GBK"/>
          <w:bCs/>
          <w:sz w:val="30"/>
          <w:szCs w:val="72"/>
          <w:lang w:val="en-US" w:eastAsia="zh-CN"/>
        </w:rPr>
        <w:t>0508</w:t>
      </w:r>
    </w:p>
    <w:p>
      <w:pPr>
        <w:pStyle w:val="22"/>
        <w:ind w:left="3439" w:leftChars="926" w:hanging="1494" w:hangingChars="496"/>
        <w:rPr>
          <w:rFonts w:ascii="方正仿宋_GBK" w:hAnsi="方正仿宋_GBK" w:eastAsia="方正仿宋_GBK" w:cs="方正仿宋_GBK"/>
          <w:b/>
          <w:sz w:val="30"/>
          <w:szCs w:val="72"/>
        </w:rPr>
      </w:pPr>
    </w:p>
    <w:p>
      <w:pPr>
        <w:pStyle w:val="22"/>
        <w:ind w:left="3439" w:leftChars="926" w:hanging="1494" w:hangingChars="496"/>
        <w:rPr>
          <w:rFonts w:ascii="方正仿宋_GBK" w:hAnsi="方正仿宋_GBK" w:eastAsia="方正仿宋_GBK" w:cs="方正仿宋_GBK"/>
          <w:b/>
          <w:sz w:val="30"/>
          <w:szCs w:val="72"/>
        </w:rPr>
      </w:pPr>
    </w:p>
    <w:p>
      <w:pPr>
        <w:pStyle w:val="22"/>
        <w:ind w:left="3439" w:leftChars="926" w:hanging="1494" w:hangingChars="496"/>
        <w:rPr>
          <w:rFonts w:ascii="方正仿宋_GBK" w:hAnsi="方正仿宋_GBK" w:eastAsia="方正仿宋_GBK" w:cs="方正仿宋_GBK"/>
          <w:b/>
          <w:sz w:val="30"/>
          <w:szCs w:val="72"/>
        </w:rPr>
      </w:pPr>
    </w:p>
    <w:p>
      <w:pPr>
        <w:pStyle w:val="22"/>
        <w:ind w:left="3439" w:leftChars="926" w:hanging="1494" w:hangingChars="496"/>
        <w:rPr>
          <w:rFonts w:ascii="方正仿宋_GBK" w:hAnsi="方正仿宋_GBK" w:eastAsia="方正仿宋_GBK" w:cs="方正仿宋_GBK"/>
          <w:b/>
          <w:sz w:val="30"/>
          <w:szCs w:val="72"/>
        </w:rPr>
      </w:pPr>
    </w:p>
    <w:p>
      <w:pPr>
        <w:pStyle w:val="22"/>
        <w:ind w:left="3439" w:leftChars="926" w:hanging="1494" w:hangingChars="496"/>
        <w:rPr>
          <w:rFonts w:ascii="方正仿宋_GBK" w:hAnsi="方正仿宋_GBK" w:eastAsia="方正仿宋_GBK" w:cs="方正仿宋_GBK"/>
          <w:b/>
          <w:sz w:val="30"/>
          <w:szCs w:val="72"/>
        </w:rPr>
      </w:pPr>
      <w:r>
        <w:rPr>
          <w:rFonts w:hint="eastAsia" w:ascii="方正仿宋_GBK" w:hAnsi="方正仿宋_GBK" w:eastAsia="方正仿宋_GBK" w:cs="方正仿宋_GBK"/>
          <w:b/>
          <w:sz w:val="30"/>
          <w:szCs w:val="72"/>
        </w:rPr>
        <w:t>采购单位：广西北部湾银行股份有限公司</w:t>
      </w:r>
    </w:p>
    <w:p>
      <w:pPr>
        <w:pStyle w:val="22"/>
        <w:ind w:firstLine="3915" w:firstLineChars="1300"/>
        <w:rPr>
          <w:rFonts w:ascii="方正仿宋_GBK" w:hAnsi="方正仿宋_GBK" w:eastAsia="方正仿宋_GBK" w:cs="方正仿宋_GBK"/>
          <w:b/>
          <w:sz w:val="30"/>
          <w:szCs w:val="72"/>
        </w:rPr>
      </w:pPr>
      <w:r>
        <w:rPr>
          <w:rFonts w:hint="eastAsia" w:ascii="方正仿宋_GBK" w:hAnsi="方正仿宋_GBK" w:eastAsia="方正仿宋_GBK" w:cs="方正仿宋_GBK"/>
          <w:b/>
          <w:sz w:val="30"/>
          <w:szCs w:val="72"/>
        </w:rPr>
        <w:t>2024年</w:t>
      </w:r>
      <w:r>
        <w:rPr>
          <w:rFonts w:hint="eastAsia" w:ascii="方正仿宋_GBK" w:hAnsi="方正仿宋_GBK" w:eastAsia="方正仿宋_GBK" w:cs="方正仿宋_GBK"/>
          <w:b/>
          <w:sz w:val="30"/>
          <w:szCs w:val="72"/>
          <w:lang w:val="en-US" w:eastAsia="zh-CN"/>
        </w:rPr>
        <w:t>6</w:t>
      </w:r>
      <w:r>
        <w:rPr>
          <w:rFonts w:hint="eastAsia" w:ascii="方正仿宋_GBK" w:hAnsi="方正仿宋_GBK" w:eastAsia="方正仿宋_GBK" w:cs="方正仿宋_GBK"/>
          <w:b/>
          <w:sz w:val="30"/>
          <w:szCs w:val="72"/>
        </w:rPr>
        <w:t>月</w:t>
      </w:r>
    </w:p>
    <w:p>
      <w:pPr>
        <w:jc w:val="center"/>
        <w:rPr>
          <w:rFonts w:ascii="方正仿宋_GBK" w:hAnsi="方正仿宋_GBK" w:eastAsia="方正仿宋_GBK" w:cs="方正仿宋_GBK"/>
        </w:rPr>
        <w:sectPr>
          <w:footerReference r:id="rId6" w:type="first"/>
          <w:headerReference r:id="rId3" w:type="default"/>
          <w:footerReference r:id="rId4" w:type="default"/>
          <w:footerReference r:id="rId5" w:type="even"/>
          <w:pgSz w:w="11906" w:h="16838"/>
          <w:pgMar w:top="1418" w:right="1418" w:bottom="1418" w:left="1418" w:header="720" w:footer="720" w:gutter="0"/>
          <w:pgNumType w:start="0"/>
          <w:cols w:space="720" w:num="1"/>
          <w:docGrid w:type="lines" w:linePitch="312" w:charSpace="0"/>
        </w:sectPr>
      </w:pPr>
    </w:p>
    <w:p>
      <w:pPr>
        <w:pStyle w:val="22"/>
        <w:snapToGrid w:val="0"/>
        <w:spacing w:line="360" w:lineRule="auto"/>
        <w:jc w:val="center"/>
        <w:rPr>
          <w:rFonts w:ascii="方正仿宋_GBK" w:hAnsi="方正仿宋_GBK" w:eastAsia="方正仿宋_GBK" w:cs="方正仿宋_GBK"/>
          <w:b/>
          <w:sz w:val="44"/>
          <w:szCs w:val="44"/>
        </w:rPr>
      </w:pPr>
    </w:p>
    <w:p>
      <w:pPr>
        <w:pStyle w:val="22"/>
        <w:snapToGrid w:val="0"/>
        <w:spacing w:line="360" w:lineRule="auto"/>
        <w:jc w:val="center"/>
        <w:rPr>
          <w:rFonts w:ascii="方正仿宋_GBK" w:hAnsi="方正仿宋_GBK" w:eastAsia="方正仿宋_GBK" w:cs="方正仿宋_GBK"/>
          <w:b/>
          <w:sz w:val="44"/>
          <w:szCs w:val="44"/>
        </w:rPr>
      </w:pPr>
    </w:p>
    <w:p>
      <w:pPr>
        <w:pStyle w:val="22"/>
        <w:snapToGrid w:val="0"/>
        <w:spacing w:line="360" w:lineRule="auto"/>
        <w:jc w:val="center"/>
        <w:rPr>
          <w:rFonts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rPr>
        <w:t>目  录</w:t>
      </w:r>
    </w:p>
    <w:p>
      <w:pPr>
        <w:pStyle w:val="29"/>
        <w:tabs>
          <w:tab w:val="right" w:leader="dot" w:pos="9402"/>
        </w:tabs>
        <w:spacing w:line="600" w:lineRule="exact"/>
        <w:rPr>
          <w:rFonts w:ascii="方正仿宋_GBK" w:hAnsi="方正仿宋_GBK" w:eastAsia="方正仿宋_GBK" w:cs="方正仿宋_GBK"/>
          <w:b w:val="0"/>
          <w:bCs w:val="0"/>
          <w:caps w:val="0"/>
          <w:sz w:val="30"/>
          <w:szCs w:val="30"/>
        </w:rPr>
      </w:pPr>
      <w:r>
        <w:rPr>
          <w:rFonts w:hint="eastAsia" w:ascii="方正仿宋_GBK" w:hAnsi="方正仿宋_GBK" w:eastAsia="方正仿宋_GBK" w:cs="方正仿宋_GBK"/>
          <w:b w:val="0"/>
          <w:sz w:val="30"/>
          <w:szCs w:val="30"/>
        </w:rPr>
        <w:fldChar w:fldCharType="begin"/>
      </w:r>
      <w:r>
        <w:rPr>
          <w:rFonts w:hint="eastAsia" w:ascii="方正仿宋_GBK" w:hAnsi="方正仿宋_GBK" w:eastAsia="方正仿宋_GBK" w:cs="方正仿宋_GBK"/>
          <w:b w:val="0"/>
          <w:sz w:val="30"/>
          <w:szCs w:val="30"/>
        </w:rPr>
        <w:instrText xml:space="preserve"> TOC \o "1-1" \h \z \u </w:instrText>
      </w:r>
      <w:r>
        <w:rPr>
          <w:rFonts w:hint="eastAsia" w:ascii="方正仿宋_GBK" w:hAnsi="方正仿宋_GBK" w:eastAsia="方正仿宋_GBK" w:cs="方正仿宋_GBK"/>
          <w:b w:val="0"/>
          <w:sz w:val="30"/>
          <w:szCs w:val="30"/>
        </w:rPr>
        <w:fldChar w:fldCharType="separate"/>
      </w:r>
      <w:r>
        <w:fldChar w:fldCharType="begin"/>
      </w:r>
      <w:r>
        <w:instrText xml:space="preserve"> HYPERLINK \l "_Toc58064531" </w:instrText>
      </w:r>
      <w:r>
        <w:fldChar w:fldCharType="separate"/>
      </w:r>
      <w:r>
        <w:rPr>
          <w:rStyle w:val="50"/>
          <w:rFonts w:hint="eastAsia" w:ascii="方正仿宋_GBK" w:hAnsi="方正仿宋_GBK" w:eastAsia="方正仿宋_GBK" w:cs="方正仿宋_GBK"/>
          <w:color w:val="auto"/>
          <w:sz w:val="30"/>
          <w:szCs w:val="30"/>
        </w:rPr>
        <w:t>竞争性磋商公告</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_Toc58064531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29"/>
        <w:tabs>
          <w:tab w:val="right" w:leader="dot" w:pos="9402"/>
        </w:tabs>
        <w:spacing w:line="600" w:lineRule="exact"/>
        <w:rPr>
          <w:rFonts w:ascii="方正仿宋_GBK" w:hAnsi="方正仿宋_GBK" w:eastAsia="方正仿宋_GBK" w:cs="方正仿宋_GBK"/>
          <w:b w:val="0"/>
          <w:bCs w:val="0"/>
          <w:caps w:val="0"/>
          <w:sz w:val="30"/>
          <w:szCs w:val="30"/>
        </w:rPr>
      </w:pPr>
      <w:r>
        <w:fldChar w:fldCharType="begin"/>
      </w:r>
      <w:r>
        <w:instrText xml:space="preserve"> HYPERLINK \l "_Toc58064532" </w:instrText>
      </w:r>
      <w:r>
        <w:fldChar w:fldCharType="separate"/>
      </w:r>
      <w:r>
        <w:rPr>
          <w:rStyle w:val="50"/>
          <w:rFonts w:hint="eastAsia" w:ascii="方正仿宋_GBK" w:hAnsi="方正仿宋_GBK" w:eastAsia="方正仿宋_GBK" w:cs="方正仿宋_GBK"/>
          <w:color w:val="auto"/>
          <w:sz w:val="30"/>
          <w:szCs w:val="30"/>
        </w:rPr>
        <w:t>第一章 磋商供应商须知前附表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p>
    <w:p>
      <w:pPr>
        <w:pStyle w:val="29"/>
        <w:tabs>
          <w:tab w:val="right" w:leader="dot" w:pos="9402"/>
        </w:tabs>
        <w:spacing w:line="600" w:lineRule="exact"/>
        <w:rPr>
          <w:rFonts w:hint="eastAsia" w:ascii="方正仿宋_GBK" w:hAnsi="方正仿宋_GBK" w:eastAsia="方正仿宋_GBK" w:cs="方正仿宋_GBK"/>
          <w:b w:val="0"/>
          <w:bCs w:val="0"/>
          <w:caps w:val="0"/>
          <w:sz w:val="30"/>
          <w:szCs w:val="30"/>
          <w:lang w:eastAsia="zh-CN"/>
        </w:rPr>
      </w:pPr>
      <w:r>
        <w:fldChar w:fldCharType="begin"/>
      </w:r>
      <w:r>
        <w:instrText xml:space="preserve"> HYPERLINK \l "_Toc58064533" </w:instrText>
      </w:r>
      <w:r>
        <w:fldChar w:fldCharType="separate"/>
      </w:r>
      <w:r>
        <w:rPr>
          <w:rStyle w:val="50"/>
          <w:rFonts w:hint="eastAsia" w:ascii="方正仿宋_GBK" w:hAnsi="方正仿宋_GBK" w:eastAsia="方正仿宋_GBK" w:cs="方正仿宋_GBK"/>
          <w:color w:val="auto"/>
          <w:sz w:val="30"/>
          <w:szCs w:val="30"/>
        </w:rPr>
        <w:t>第二章 评标方法</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_Toc58064533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t>1</w:t>
      </w:r>
    </w:p>
    <w:p>
      <w:pPr>
        <w:pStyle w:val="29"/>
        <w:tabs>
          <w:tab w:val="right" w:leader="dot" w:pos="9402"/>
        </w:tabs>
        <w:spacing w:line="600" w:lineRule="exact"/>
        <w:rPr>
          <w:rFonts w:hint="default" w:ascii="方正仿宋_GBK" w:hAnsi="方正仿宋_GBK" w:eastAsia="方正仿宋_GBK" w:cs="方正仿宋_GBK"/>
          <w:b w:val="0"/>
          <w:bCs w:val="0"/>
          <w:caps w:val="0"/>
          <w:sz w:val="30"/>
          <w:szCs w:val="30"/>
          <w:lang w:val="en-US" w:eastAsia="zh-CN"/>
        </w:rPr>
      </w:pPr>
      <w:r>
        <w:fldChar w:fldCharType="begin"/>
      </w:r>
      <w:r>
        <w:instrText xml:space="preserve"> HYPERLINK \l "_Toc58064534" </w:instrText>
      </w:r>
      <w:r>
        <w:fldChar w:fldCharType="separate"/>
      </w:r>
      <w:r>
        <w:rPr>
          <w:rStyle w:val="50"/>
          <w:rFonts w:hint="eastAsia" w:ascii="方正仿宋_GBK" w:hAnsi="方正仿宋_GBK" w:eastAsia="方正仿宋_GBK" w:cs="方正仿宋_GBK"/>
          <w:color w:val="auto"/>
          <w:sz w:val="30"/>
          <w:szCs w:val="30"/>
        </w:rPr>
        <w:t>第三章 采购需求</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t>13</w:t>
      </w:r>
    </w:p>
    <w:p>
      <w:pPr>
        <w:pStyle w:val="29"/>
        <w:tabs>
          <w:tab w:val="right" w:leader="dot" w:pos="9402"/>
        </w:tabs>
        <w:spacing w:line="600" w:lineRule="exact"/>
        <w:rPr>
          <w:rFonts w:hint="eastAsia" w:ascii="方正仿宋_GBK" w:hAnsi="方正仿宋_GBK" w:eastAsia="方正仿宋_GBK" w:cs="方正仿宋_GBK"/>
          <w:sz w:val="30"/>
          <w:szCs w:val="30"/>
          <w:lang w:val="en-US" w:eastAsia="zh-CN"/>
        </w:rPr>
      </w:pPr>
      <w:r>
        <w:fldChar w:fldCharType="begin"/>
      </w:r>
      <w:r>
        <w:instrText xml:space="preserve"> HYPERLINK \l "_Toc58064535" </w:instrText>
      </w:r>
      <w:r>
        <w:fldChar w:fldCharType="separate"/>
      </w:r>
      <w:r>
        <w:rPr>
          <w:rStyle w:val="50"/>
          <w:rFonts w:hint="eastAsia" w:ascii="方正仿宋_GBK" w:hAnsi="方正仿宋_GBK" w:eastAsia="方正仿宋_GBK" w:cs="方正仿宋_GBK"/>
          <w:color w:val="auto"/>
          <w:sz w:val="30"/>
          <w:szCs w:val="30"/>
        </w:rPr>
        <w:t>第四章 磋商响应文件基本格式</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t>6</w:t>
      </w:r>
    </w:p>
    <w:p>
      <w:pPr>
        <w:pStyle w:val="29"/>
        <w:tabs>
          <w:tab w:val="right" w:leader="dot" w:pos="9402"/>
        </w:tabs>
        <w:spacing w:line="600" w:lineRule="exact"/>
        <w:rPr>
          <w:rFonts w:hint="eastAsia" w:ascii="方正仿宋_GBK" w:hAnsi="方正仿宋_GBK" w:eastAsia="方正仿宋_GBK" w:cs="方正仿宋_GBK"/>
          <w:sz w:val="30"/>
          <w:szCs w:val="30"/>
          <w:lang w:val="en-US" w:eastAsia="zh-CN"/>
        </w:rPr>
      </w:pPr>
      <w:r>
        <w:fldChar w:fldCharType="begin"/>
      </w:r>
      <w:r>
        <w:instrText xml:space="preserve"> HYPERLINK \l "_Toc58064535" </w:instrText>
      </w:r>
      <w:r>
        <w:fldChar w:fldCharType="separate"/>
      </w:r>
      <w:r>
        <w:rPr>
          <w:rStyle w:val="50"/>
          <w:rFonts w:hint="eastAsia" w:ascii="方正仿宋_GBK" w:hAnsi="方正仿宋_GBK" w:eastAsia="方正仿宋_GBK" w:cs="方正仿宋_GBK"/>
          <w:color w:val="auto"/>
          <w:sz w:val="30"/>
          <w:szCs w:val="30"/>
        </w:rPr>
        <w:t>第</w:t>
      </w:r>
      <w:r>
        <w:rPr>
          <w:rStyle w:val="50"/>
          <w:rFonts w:hint="eastAsia" w:ascii="方正仿宋_GBK" w:hAnsi="方正仿宋_GBK" w:eastAsia="方正仿宋_GBK" w:cs="方正仿宋_GBK"/>
          <w:color w:val="auto"/>
          <w:sz w:val="30"/>
          <w:szCs w:val="30"/>
          <w:lang w:eastAsia="zh-CN"/>
        </w:rPr>
        <w:t>五</w:t>
      </w:r>
      <w:r>
        <w:rPr>
          <w:rStyle w:val="50"/>
          <w:rFonts w:hint="eastAsia" w:ascii="方正仿宋_GBK" w:hAnsi="方正仿宋_GBK" w:eastAsia="方正仿宋_GBK" w:cs="方正仿宋_GBK"/>
          <w:color w:val="auto"/>
          <w:sz w:val="30"/>
          <w:szCs w:val="30"/>
        </w:rPr>
        <w:t xml:space="preserve">章 </w:t>
      </w:r>
      <w:r>
        <w:rPr>
          <w:rStyle w:val="50"/>
          <w:rFonts w:hint="eastAsia" w:ascii="方正仿宋_GBK" w:hAnsi="方正仿宋_GBK" w:eastAsia="方正仿宋_GBK" w:cs="方正仿宋_GBK"/>
          <w:color w:val="auto"/>
          <w:sz w:val="30"/>
          <w:szCs w:val="30"/>
          <w:lang w:eastAsia="zh-CN"/>
        </w:rPr>
        <w:t>合同</w:t>
      </w:r>
      <w:r>
        <w:rPr>
          <w:rStyle w:val="50"/>
          <w:rFonts w:hint="eastAsia" w:ascii="方正仿宋_GBK" w:hAnsi="方正仿宋_GBK" w:eastAsia="方正仿宋_GBK" w:cs="方正仿宋_GBK"/>
          <w:color w:val="auto"/>
          <w:sz w:val="30"/>
          <w:szCs w:val="30"/>
        </w:rPr>
        <w:t>格式</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lang w:val="en-US" w:eastAsia="zh-CN"/>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t>6</w:t>
      </w:r>
    </w:p>
    <w:p/>
    <w:p>
      <w:pPr>
        <w:pStyle w:val="22"/>
        <w:spacing w:line="600" w:lineRule="exact"/>
        <w:ind w:left="412" w:leftChars="196"/>
        <w:rPr>
          <w:rFonts w:ascii="方正仿宋_GBK" w:hAnsi="方正仿宋_GBK" w:eastAsia="方正仿宋_GBK" w:cs="方正仿宋_GBK"/>
          <w:b/>
          <w:sz w:val="32"/>
          <w:szCs w:val="32"/>
        </w:rPr>
      </w:pPr>
      <w:r>
        <w:rPr>
          <w:rFonts w:hint="eastAsia" w:ascii="方正仿宋_GBK" w:hAnsi="方正仿宋_GBK" w:eastAsia="方正仿宋_GBK" w:cs="方正仿宋_GBK"/>
          <w:b/>
          <w:sz w:val="30"/>
          <w:szCs w:val="30"/>
        </w:rPr>
        <w:fldChar w:fldCharType="end"/>
      </w:r>
    </w:p>
    <w:p>
      <w:pPr>
        <w:spacing w:line="480" w:lineRule="exact"/>
        <w:jc w:val="center"/>
        <w:rPr>
          <w:rFonts w:ascii="方正仿宋_GBK" w:hAnsi="方正仿宋_GBK" w:eastAsia="方正仿宋_GBK" w:cs="方正仿宋_GBK"/>
          <w:b/>
          <w:sz w:val="36"/>
          <w:szCs w:val="44"/>
        </w:rPr>
      </w:pPr>
      <w:r>
        <w:rPr>
          <w:rFonts w:hint="eastAsia" w:ascii="方正仿宋_GBK" w:hAnsi="方正仿宋_GBK" w:eastAsia="方正仿宋_GBK" w:cs="方正仿宋_GBK"/>
          <w:sz w:val="32"/>
        </w:rPr>
        <w:br w:type="page"/>
      </w:r>
    </w:p>
    <w:p>
      <w:pPr>
        <w:jc w:val="center"/>
        <w:outlineLvl w:val="0"/>
        <w:rPr>
          <w:rFonts w:ascii="方正小标宋_GBK" w:hAnsi="方正小标宋_GBK" w:eastAsia="方正小标宋_GBK" w:cs="方正小标宋_GBK"/>
          <w:bCs/>
          <w:sz w:val="32"/>
        </w:rPr>
      </w:pPr>
      <w:bookmarkStart w:id="0" w:name="_Toc58064531"/>
      <w:r>
        <w:rPr>
          <w:rFonts w:hint="eastAsia" w:ascii="方正小标宋_GBK" w:hAnsi="方正小标宋_GBK" w:eastAsia="方正小标宋_GBK" w:cs="方正小标宋_GBK"/>
          <w:bCs/>
          <w:sz w:val="32"/>
          <w:szCs w:val="32"/>
        </w:rPr>
        <w:t>广西北部湾银行</w:t>
      </w:r>
      <w:r>
        <w:rPr>
          <w:rFonts w:hint="eastAsia" w:ascii="方正小标宋_GBK" w:hAnsi="方正小标宋_GBK" w:eastAsia="方正小标宋_GBK" w:cs="方正小标宋_GBK"/>
          <w:b w:val="0"/>
          <w:bCs/>
          <w:sz w:val="32"/>
          <w:szCs w:val="32"/>
          <w:lang w:eastAsia="zh-CN"/>
        </w:rPr>
        <w:t>理财业务及理财产品</w:t>
      </w:r>
      <w:r>
        <w:rPr>
          <w:rFonts w:hint="eastAsia" w:ascii="方正小标宋_GBK" w:hAnsi="方正小标宋_GBK" w:eastAsia="方正小标宋_GBK" w:cs="方正小标宋_GBK"/>
          <w:b w:val="0"/>
          <w:bCs/>
          <w:sz w:val="32"/>
          <w:szCs w:val="32"/>
        </w:rPr>
        <w:t>外部审计</w:t>
      </w:r>
      <w:r>
        <w:rPr>
          <w:rFonts w:hint="eastAsia" w:ascii="方正小标宋_GBK" w:hAnsi="方正小标宋_GBK" w:eastAsia="方正小标宋_GBK" w:cs="方正小标宋_GBK"/>
          <w:bCs/>
          <w:sz w:val="32"/>
          <w:szCs w:val="32"/>
        </w:rPr>
        <w:t>项目(2024</w:t>
      </w:r>
      <w:r>
        <w:rPr>
          <w:rFonts w:hint="eastAsia" w:ascii="方正小标宋_GBK" w:hAnsi="方正小标宋_GBK" w:eastAsia="方正小标宋_GBK" w:cs="方正小标宋_GBK"/>
          <w:bCs/>
          <w:sz w:val="32"/>
          <w:szCs w:val="32"/>
          <w:lang w:val="en-US" w:eastAsia="zh-CN"/>
        </w:rPr>
        <w:t>0508</w:t>
      </w:r>
      <w:r>
        <w:rPr>
          <w:rFonts w:hint="eastAsia" w:ascii="方正小标宋_GBK" w:hAnsi="方正小标宋_GBK" w:eastAsia="方正小标宋_GBK" w:cs="方正小标宋_GBK"/>
          <w:bCs/>
          <w:sz w:val="32"/>
          <w:szCs w:val="32"/>
        </w:rPr>
        <w:t>)</w:t>
      </w:r>
      <w:r>
        <w:rPr>
          <w:rFonts w:hint="eastAsia" w:ascii="方正小标宋_GBK" w:hAnsi="方正小标宋_GBK" w:eastAsia="方正小标宋_GBK" w:cs="方正小标宋_GBK"/>
          <w:bCs/>
          <w:sz w:val="32"/>
          <w:szCs w:val="32"/>
          <w:lang w:val="en-US" w:eastAsia="zh-CN"/>
        </w:rPr>
        <w:t xml:space="preserve">      </w:t>
      </w:r>
      <w:r>
        <w:rPr>
          <w:rFonts w:hint="eastAsia" w:ascii="方正小标宋_GBK" w:hAnsi="方正小标宋_GBK" w:eastAsia="方正小标宋_GBK" w:cs="方正小标宋_GBK"/>
          <w:bCs/>
          <w:sz w:val="32"/>
          <w:szCs w:val="32"/>
        </w:rPr>
        <w:t>竞争性磋商公告</w:t>
      </w:r>
      <w:bookmarkEnd w:id="0"/>
    </w:p>
    <w:p>
      <w:pPr>
        <w:snapToGrid w:val="0"/>
        <w:spacing w:line="400" w:lineRule="exact"/>
        <w:ind w:firstLine="440" w:firstLineChars="200"/>
        <w:rPr>
          <w:rFonts w:ascii="方正仿宋_GBK" w:hAnsi="方正仿宋_GBK" w:eastAsia="方正仿宋_GBK" w:cs="方正仿宋_GBK"/>
          <w:sz w:val="22"/>
          <w:szCs w:val="21"/>
        </w:rPr>
      </w:pPr>
      <w:bookmarkStart w:id="1" w:name="_Toc58064532"/>
    </w:p>
    <w:p>
      <w:pPr>
        <w:snapToGrid w:val="0"/>
        <w:spacing w:line="400" w:lineRule="exact"/>
        <w:ind w:firstLine="422" w:firstLineChars="200"/>
        <w:rPr>
          <w:rFonts w:ascii="方正仿宋_GBK" w:hAnsi="方正仿宋_GBK" w:eastAsia="方正仿宋_GBK" w:cs="方正仿宋_GBK"/>
          <w:szCs w:val="21"/>
        </w:rPr>
      </w:pPr>
      <w:r>
        <w:rPr>
          <w:rFonts w:hint="eastAsia" w:ascii="方正仿宋_GBK" w:hAnsi="方正仿宋_GBK" w:eastAsia="方正仿宋_GBK" w:cs="方正仿宋_GBK"/>
          <w:b/>
          <w:szCs w:val="21"/>
        </w:rPr>
        <w:t>广西北部湾银行股份有限公司拟</w:t>
      </w:r>
      <w:r>
        <w:rPr>
          <w:rFonts w:hint="eastAsia" w:ascii="方正仿宋_GBK" w:hAnsi="方正仿宋_GBK" w:eastAsia="方正仿宋_GBK" w:cs="方正仿宋_GBK"/>
          <w:szCs w:val="21"/>
        </w:rPr>
        <w:t>对</w:t>
      </w:r>
      <w:r>
        <w:rPr>
          <w:rFonts w:hint="eastAsia" w:ascii="方正仿宋_GBK" w:hAnsi="方正仿宋_GBK" w:eastAsia="方正仿宋_GBK" w:cs="方正仿宋_GBK"/>
          <w:b/>
          <w:szCs w:val="21"/>
        </w:rPr>
        <w:t>广西北部湾银行</w:t>
      </w:r>
      <w:r>
        <w:rPr>
          <w:rFonts w:hint="eastAsia" w:ascii="方正仿宋_GBK" w:hAnsi="方正仿宋_GBK" w:eastAsia="方正仿宋_GBK" w:cs="方正仿宋_GBK"/>
          <w:b/>
          <w:szCs w:val="21"/>
          <w:lang w:eastAsia="zh-CN"/>
        </w:rPr>
        <w:t>理财业务及理财产品</w:t>
      </w:r>
      <w:r>
        <w:rPr>
          <w:rFonts w:hint="eastAsia" w:ascii="方正仿宋_GBK" w:hAnsi="方正仿宋_GBK" w:eastAsia="方正仿宋_GBK" w:cs="方正仿宋_GBK"/>
          <w:b/>
          <w:bCs/>
          <w:szCs w:val="21"/>
          <w:lang w:eastAsia="zh-CN"/>
        </w:rPr>
        <w:t>外部审计</w:t>
      </w:r>
      <w:r>
        <w:rPr>
          <w:rFonts w:hint="eastAsia" w:ascii="方正仿宋_GBK" w:hAnsi="方正仿宋_GBK" w:eastAsia="方正仿宋_GBK" w:cs="方正仿宋_GBK"/>
          <w:b/>
          <w:bCs/>
          <w:szCs w:val="21"/>
        </w:rPr>
        <w:t>项目</w:t>
      </w:r>
      <w:r>
        <w:rPr>
          <w:rFonts w:hint="eastAsia" w:ascii="方正仿宋_GBK" w:hAnsi="方正仿宋_GBK" w:eastAsia="方正仿宋_GBK" w:cs="方正仿宋_GBK"/>
          <w:szCs w:val="21"/>
        </w:rPr>
        <w:t xml:space="preserve">进行竞争性磋商采购，现将有关事项公告如下： </w:t>
      </w:r>
    </w:p>
    <w:p>
      <w:pPr>
        <w:spacing w:line="400" w:lineRule="exact"/>
        <w:ind w:firstLine="422" w:firstLineChars="200"/>
        <w:rPr>
          <w:rFonts w:ascii="方正仿宋_GBK" w:hAnsi="方正仿宋_GBK" w:eastAsia="方正仿宋_GBK" w:cs="方正仿宋_GBK"/>
          <w:szCs w:val="21"/>
        </w:rPr>
      </w:pPr>
      <w:r>
        <w:rPr>
          <w:rFonts w:hint="eastAsia" w:ascii="方正仿宋_GBK" w:hAnsi="方正仿宋_GBK" w:eastAsia="方正仿宋_GBK" w:cs="方正仿宋_GBK"/>
          <w:b/>
          <w:szCs w:val="21"/>
        </w:rPr>
        <w:t>一、项目名称</w:t>
      </w:r>
      <w:r>
        <w:rPr>
          <w:rFonts w:hint="eastAsia" w:ascii="方正仿宋_GBK" w:hAnsi="方正仿宋_GBK" w:eastAsia="方正仿宋_GBK" w:cs="方正仿宋_GBK"/>
          <w:b/>
          <w:bCs/>
          <w:szCs w:val="21"/>
        </w:rPr>
        <w:t>：广西北部湾银行</w:t>
      </w:r>
      <w:r>
        <w:rPr>
          <w:rFonts w:hint="eastAsia" w:ascii="方正仿宋_GBK" w:hAnsi="方正仿宋_GBK" w:eastAsia="方正仿宋_GBK" w:cs="方正仿宋_GBK"/>
          <w:b/>
          <w:bCs/>
          <w:szCs w:val="21"/>
          <w:lang w:eastAsia="zh-CN"/>
        </w:rPr>
        <w:t>理财业务及理财产品外部审计</w:t>
      </w:r>
      <w:r>
        <w:rPr>
          <w:rFonts w:hint="eastAsia" w:ascii="方正仿宋_GBK" w:hAnsi="方正仿宋_GBK" w:eastAsia="方正仿宋_GBK" w:cs="方正仿宋_GBK"/>
          <w:b/>
          <w:bCs/>
          <w:szCs w:val="21"/>
        </w:rPr>
        <w:t>项目</w:t>
      </w:r>
    </w:p>
    <w:p>
      <w:pPr>
        <w:spacing w:line="400" w:lineRule="exact"/>
        <w:ind w:firstLine="422" w:firstLineChars="200"/>
        <w:rPr>
          <w:rFonts w:hint="default" w:ascii="方正仿宋_GBK" w:hAnsi="方正仿宋_GBK" w:eastAsia="方正仿宋_GBK" w:cs="方正仿宋_GBK"/>
          <w:b/>
          <w:szCs w:val="21"/>
          <w:lang w:val="en-US" w:eastAsia="zh-CN"/>
        </w:rPr>
      </w:pPr>
      <w:r>
        <w:rPr>
          <w:rFonts w:hint="eastAsia" w:ascii="方正仿宋_GBK" w:hAnsi="方正仿宋_GBK" w:eastAsia="方正仿宋_GBK" w:cs="方正仿宋_GBK"/>
          <w:b/>
          <w:szCs w:val="21"/>
        </w:rPr>
        <w:t>二、项目编号：2024</w:t>
      </w:r>
      <w:r>
        <w:rPr>
          <w:rFonts w:hint="eastAsia" w:ascii="方正仿宋_GBK" w:hAnsi="方正仿宋_GBK" w:eastAsia="方正仿宋_GBK" w:cs="方正仿宋_GBK"/>
          <w:b/>
          <w:szCs w:val="21"/>
          <w:lang w:val="en-US" w:eastAsia="zh-CN"/>
        </w:rPr>
        <w:t>0508</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三、预算金额：不公布</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四、采购方式：竞争性磋商</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五、采购内容：</w:t>
      </w:r>
      <w:r>
        <w:rPr>
          <w:rFonts w:hint="eastAsia" w:ascii="方正仿宋_GBK" w:hAnsi="方正仿宋_GBK" w:eastAsia="方正仿宋_GBK" w:cs="方正仿宋_GBK"/>
          <w:b/>
          <w:szCs w:val="21"/>
          <w:lang w:eastAsia="zh-CN"/>
        </w:rPr>
        <w:t>理财业务及理财产品</w:t>
      </w:r>
      <w:bookmarkStart w:id="8" w:name="_GoBack"/>
      <w:bookmarkEnd w:id="8"/>
      <w:r>
        <w:rPr>
          <w:rFonts w:hint="eastAsia" w:ascii="方正仿宋_GBK" w:hAnsi="方正仿宋_GBK" w:eastAsia="方正仿宋_GBK" w:cs="方正仿宋_GBK"/>
          <w:b/>
          <w:bCs w:val="0"/>
          <w:szCs w:val="21"/>
          <w:lang w:eastAsia="zh-CN"/>
        </w:rPr>
        <w:t>外部审计服务</w:t>
      </w:r>
      <w:r>
        <w:rPr>
          <w:rFonts w:hint="eastAsia" w:ascii="方正仿宋_GBK" w:hAnsi="方正仿宋_GBK" w:eastAsia="方正仿宋_GBK" w:cs="方正仿宋_GBK"/>
          <w:b/>
          <w:bCs w:val="0"/>
          <w:szCs w:val="21"/>
        </w:rPr>
        <w:t xml:space="preserve"> </w:t>
      </w:r>
      <w:r>
        <w:rPr>
          <w:rFonts w:hint="eastAsia" w:ascii="方正仿宋_GBK" w:hAnsi="方正仿宋_GBK" w:eastAsia="方正仿宋_GBK" w:cs="方正仿宋_GBK"/>
          <w:b/>
          <w:bCs w:val="0"/>
          <w:szCs w:val="21"/>
          <w:highlight w:val="none"/>
          <w:lang w:val="en-US" w:eastAsia="zh-CN"/>
        </w:rPr>
        <w:t>1</w:t>
      </w:r>
      <w:r>
        <w:rPr>
          <w:rFonts w:hint="eastAsia" w:ascii="方正仿宋_GBK" w:hAnsi="方正仿宋_GBK" w:eastAsia="方正仿宋_GBK" w:cs="方正仿宋_GBK"/>
          <w:b/>
          <w:bCs w:val="0"/>
          <w:szCs w:val="21"/>
        </w:rPr>
        <w:t>项</w:t>
      </w:r>
      <w:r>
        <w:rPr>
          <w:rFonts w:hint="eastAsia" w:ascii="方正仿宋_GBK" w:hAnsi="方正仿宋_GBK" w:eastAsia="方正仿宋_GBK" w:cs="方正仿宋_GBK"/>
          <w:b/>
          <w:szCs w:val="21"/>
        </w:rPr>
        <w:t>；如需进一步了解详细内容</w:t>
      </w:r>
      <w:r>
        <w:rPr>
          <w:rFonts w:hint="eastAsia" w:ascii="方正仿宋_GBK" w:hAnsi="方正仿宋_GBK" w:eastAsia="方正仿宋_GBK" w:cs="方正仿宋_GBK"/>
          <w:b/>
          <w:bCs/>
          <w:szCs w:val="21"/>
        </w:rPr>
        <w:t>，详见本公告附件：竞争性磋商采购文件</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六、磋商供应商资格：</w:t>
      </w:r>
    </w:p>
    <w:p>
      <w:pPr>
        <w:spacing w:line="400" w:lineRule="exact"/>
        <w:ind w:firstLine="420" w:firstLineChars="200"/>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（一）投标人应在中国境内依法注册成立三年及以上，由有限责任制转为特殊的普通合伙制或普通合伙制的会计师事务所，延续转制前的经营年限</w:t>
      </w:r>
      <w:r>
        <w:rPr>
          <w:rFonts w:hint="eastAsia" w:ascii="方正仿宋_GBK" w:hAnsi="方正仿宋_GBK" w:eastAsia="方正仿宋_GBK" w:cs="方正仿宋_GBK"/>
          <w:szCs w:val="21"/>
          <w:lang w:eastAsia="zh-CN"/>
        </w:rPr>
        <w:t>；</w:t>
      </w:r>
    </w:p>
    <w:p>
      <w:pPr>
        <w:pStyle w:val="3"/>
        <w:ind w:firstLine="420" w:firstLineChars="200"/>
        <w:rPr>
          <w:rFonts w:hint="eastAsia"/>
          <w:b w:val="0"/>
          <w:bCs w:val="0"/>
          <w:lang w:eastAsia="zh-CN"/>
        </w:rPr>
      </w:pPr>
      <w:r>
        <w:rPr>
          <w:rFonts w:hint="eastAsia" w:ascii="方正仿宋_GBK" w:hAnsi="方正仿宋_GBK" w:eastAsia="方正仿宋_GBK" w:cs="方正仿宋_GBK"/>
          <w:b w:val="0"/>
          <w:bCs w:val="0"/>
          <w:szCs w:val="21"/>
          <w:lang w:eastAsia="zh-CN"/>
        </w:rPr>
        <w:t>（二）投标人应</w:t>
      </w:r>
      <w:r>
        <w:rPr>
          <w:rFonts w:hint="eastAsia" w:ascii="方正仿宋_GBK" w:hAnsi="方正仿宋_GBK" w:eastAsia="方正仿宋_GBK" w:cs="方正仿宋_GBK"/>
          <w:b w:val="0"/>
          <w:bCs w:val="0"/>
          <w:color w:val="auto"/>
          <w:sz w:val="21"/>
          <w:szCs w:val="21"/>
          <w:highlight w:val="none"/>
          <w:lang w:eastAsia="zh-CN"/>
        </w:rPr>
        <w:t>具有独立承担民事责任的能力和经营许可，具有独立签订合同的权利，具备为本项目提供相关产品及服务能力的法人单位或其他组织（</w:t>
      </w:r>
      <w:r>
        <w:rPr>
          <w:rFonts w:hint="eastAsia" w:ascii="方正仿宋_GBK" w:hAnsi="方正仿宋_GBK" w:eastAsia="方正仿宋_GBK" w:cs="方正仿宋_GBK"/>
          <w:b w:val="0"/>
          <w:bCs w:val="0"/>
          <w:color w:val="auto"/>
          <w:highlight w:val="none"/>
        </w:rPr>
        <w:t>分公司或分支机构参与竞标时，须同时提供具有法人资格的总公司的营业执照复印件及授权书</w:t>
      </w:r>
      <w:r>
        <w:rPr>
          <w:rFonts w:hint="eastAsia" w:ascii="方正仿宋_GBK" w:hAnsi="方正仿宋_GBK" w:eastAsia="方正仿宋_GBK" w:cs="方正仿宋_GBK"/>
          <w:b w:val="0"/>
          <w:bCs w:val="0"/>
          <w:color w:val="auto"/>
          <w:highlight w:val="none"/>
          <w:lang w:eastAsia="zh-CN"/>
        </w:rPr>
        <w:t>，</w:t>
      </w:r>
      <w:r>
        <w:rPr>
          <w:rFonts w:hint="eastAsia" w:ascii="Times New Roman" w:hAnsi="Times New Roman" w:eastAsia="方正仿宋_GBK" w:cs="Times New Roman"/>
          <w:b w:val="0"/>
          <w:bCs w:val="0"/>
          <w:color w:val="auto"/>
          <w:sz w:val="21"/>
          <w:szCs w:val="21"/>
          <w:highlight w:val="none"/>
          <w:lang w:eastAsia="zh-CN"/>
        </w:rPr>
        <w:t>授权书须加盖总公司的公章</w:t>
      </w:r>
      <w:r>
        <w:rPr>
          <w:rFonts w:hint="eastAsia" w:ascii="方正仿宋_GBK" w:hAnsi="方正仿宋_GBK" w:eastAsia="方正仿宋_GBK" w:cs="方正仿宋_GBK"/>
          <w:b w:val="0"/>
          <w:bCs w:val="0"/>
          <w:color w:val="auto"/>
          <w:highlight w:val="none"/>
          <w:lang w:eastAsia="zh-CN"/>
        </w:rPr>
        <w:t>）；</w:t>
      </w:r>
    </w:p>
    <w:p>
      <w:pPr>
        <w:pStyle w:val="22"/>
        <w:spacing w:line="340" w:lineRule="exact"/>
        <w:ind w:firstLine="411" w:firstLineChars="196"/>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szCs w:val="21"/>
          <w:lang w:eastAsia="zh-CN"/>
        </w:rPr>
        <w:t>（三）</w:t>
      </w:r>
      <w:r>
        <w:rPr>
          <w:rFonts w:hint="eastAsia" w:ascii="方正仿宋_GBK" w:hAnsi="方正仿宋_GBK" w:eastAsia="方正仿宋_GBK" w:cs="方正仿宋_GBK"/>
          <w:color w:val="auto"/>
          <w:sz w:val="21"/>
          <w:szCs w:val="21"/>
          <w:highlight w:val="none"/>
          <w:lang w:eastAsia="zh-CN"/>
        </w:rPr>
        <w:t>遵守国家有关法律、法规，具有良好的商业信誉和健全的财务会计制度，</w:t>
      </w:r>
      <w:r>
        <w:rPr>
          <w:rFonts w:hint="eastAsia" w:ascii="Times New Roman" w:hAnsi="Times New Roman" w:eastAsia="方正仿宋_GBK" w:cs="Times New Roman"/>
          <w:color w:val="auto"/>
          <w:sz w:val="21"/>
          <w:szCs w:val="21"/>
          <w:highlight w:val="none"/>
          <w:lang w:eastAsia="zh-CN"/>
        </w:rPr>
        <w:t>具有履行采购合同所必需的财务实力、专业技术能力和经验；</w:t>
      </w:r>
    </w:p>
    <w:p>
      <w:pPr>
        <w:numPr>
          <w:ilvl w:val="0"/>
          <w:numId w:val="0"/>
        </w:numPr>
        <w:spacing w:line="400" w:lineRule="exact"/>
        <w:ind w:firstLine="420" w:firstLineChars="200"/>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szCs w:val="21"/>
          <w:lang w:eastAsia="zh-CN"/>
        </w:rPr>
        <w:t>（四）</w:t>
      </w:r>
      <w:r>
        <w:rPr>
          <w:rFonts w:hint="eastAsia" w:ascii="方正仿宋_GBK" w:hAnsi="方正仿宋_GBK" w:eastAsia="方正仿宋_GBK" w:cs="方正仿宋_GBK"/>
          <w:szCs w:val="21"/>
        </w:rPr>
        <w:t>投标人应具有固定的工作场所，组织机构健全，</w:t>
      </w:r>
      <w:r>
        <w:rPr>
          <w:rFonts w:hint="eastAsia" w:ascii="方正仿宋_GBK" w:hAnsi="方正仿宋_GBK" w:eastAsia="方正仿宋_GBK" w:cs="方正仿宋_GBK"/>
          <w:color w:val="auto"/>
          <w:szCs w:val="21"/>
        </w:rPr>
        <w:t>内部管理和控制制度较为完善并且执行有效</w:t>
      </w:r>
      <w:r>
        <w:rPr>
          <w:rFonts w:hint="eastAsia" w:ascii="方正仿宋_GBK" w:hAnsi="方正仿宋_GBK" w:eastAsia="方正仿宋_GBK" w:cs="方正仿宋_GBK"/>
          <w:color w:val="auto"/>
          <w:szCs w:val="21"/>
          <w:lang w:eastAsia="zh-CN"/>
        </w:rPr>
        <w:t>；</w:t>
      </w:r>
    </w:p>
    <w:p>
      <w:pPr>
        <w:spacing w:line="400" w:lineRule="exac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eastAsia="zh-CN"/>
        </w:rPr>
        <w:t>（五）</w:t>
      </w:r>
      <w:r>
        <w:rPr>
          <w:rFonts w:hint="eastAsia" w:ascii="方正仿宋_GBK" w:hAnsi="方正仿宋_GBK" w:eastAsia="方正仿宋_GBK" w:cs="方正仿宋_GBK"/>
          <w:szCs w:val="21"/>
        </w:rPr>
        <w:t>投标人应具有良好的执业质量记录，按时保质完成审计工作任务，在审计工作中没有出现重大审计质量问题和不良记录，具备承担相应审计风险的能力</w:t>
      </w:r>
      <w:r>
        <w:rPr>
          <w:rFonts w:hint="eastAsia" w:ascii="方正仿宋_GBK" w:hAnsi="方正仿宋_GBK" w:eastAsia="方正仿宋_GBK" w:cs="方正仿宋_GBK"/>
          <w:szCs w:val="21"/>
          <w:lang w:eastAsia="zh-CN"/>
        </w:rPr>
        <w:t>；未</w:t>
      </w:r>
      <w:r>
        <w:rPr>
          <w:rFonts w:hint="eastAsia" w:ascii="方正仿宋_GBK" w:hAnsi="方正仿宋_GBK" w:eastAsia="方正仿宋_GBK" w:cs="方正仿宋_GBK"/>
          <w:szCs w:val="21"/>
        </w:rPr>
        <w:t>在广西北部湾银行以往采购项目中有过欺骗、欺诈等不良行为或不良记录；</w:t>
      </w:r>
    </w:p>
    <w:p>
      <w:pPr>
        <w:spacing w:line="400" w:lineRule="exact"/>
        <w:ind w:firstLine="420" w:firstLineChars="200"/>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szCs w:val="21"/>
          <w:lang w:eastAsia="zh-CN"/>
        </w:rPr>
        <w:t>（六）</w:t>
      </w:r>
      <w:r>
        <w:rPr>
          <w:rFonts w:hint="eastAsia" w:ascii="方正仿宋_GBK" w:hAnsi="方正仿宋_GBK" w:eastAsia="方正仿宋_GBK" w:cs="方正仿宋_GBK"/>
          <w:color w:val="auto"/>
          <w:szCs w:val="21"/>
        </w:rPr>
        <w:t>投标人须能够保守被审计金融企业的商业秘密，维护国家金融信息安全</w:t>
      </w:r>
      <w:r>
        <w:rPr>
          <w:rFonts w:hint="eastAsia" w:ascii="方正仿宋_GBK" w:hAnsi="方正仿宋_GBK" w:eastAsia="方正仿宋_GBK" w:cs="方正仿宋_GBK"/>
          <w:color w:val="auto"/>
          <w:szCs w:val="21"/>
          <w:lang w:eastAsia="zh-CN"/>
        </w:rPr>
        <w:t>；</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方正仿宋_GBK" w:hAnsi="方正仿宋_GBK" w:eastAsia="方正仿宋_GBK" w:cs="方正仿宋_GBK"/>
          <w:szCs w:val="21"/>
          <w:lang w:eastAsia="zh-CN"/>
        </w:rPr>
        <w:t>七</w:t>
      </w:r>
      <w:r>
        <w:rPr>
          <w:rFonts w:hint="eastAsia" w:ascii="方正仿宋_GBK" w:hAnsi="方正仿宋_GBK" w:eastAsia="方正仿宋_GBK" w:cs="方正仿宋_GBK"/>
          <w:szCs w:val="21"/>
        </w:rPr>
        <w:t>）近三年内，在经营活动中没有重大违法记录和不良信用记录，对在“信用中国”(www.ceditchina.gov.cn)网站被列入失信被执行人、重大税收违法失信主体、经营异常名录、政府采购严重违法失信行为记录名单的供应商，将被拒绝参与本次采购活动；</w:t>
      </w:r>
    </w:p>
    <w:p>
      <w:pPr>
        <w:numPr>
          <w:ilvl w:val="-1"/>
          <w:numId w:val="0"/>
        </w:numPr>
        <w:spacing w:line="400" w:lineRule="exact"/>
        <w:ind w:firstLine="420" w:firstLineChars="200"/>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w:t>
      </w:r>
      <w:r>
        <w:rPr>
          <w:rFonts w:hint="eastAsia" w:ascii="方正仿宋_GBK" w:hAnsi="方正仿宋_GBK" w:eastAsia="方正仿宋_GBK" w:cs="方正仿宋_GBK"/>
          <w:szCs w:val="21"/>
          <w:lang w:eastAsia="zh-CN"/>
        </w:rPr>
        <w:t>八</w:t>
      </w:r>
      <w:r>
        <w:rPr>
          <w:rFonts w:hint="eastAsia" w:ascii="方正仿宋_GBK" w:hAnsi="方正仿宋_GBK" w:eastAsia="方正仿宋_GBK" w:cs="方正仿宋_GBK"/>
          <w:szCs w:val="21"/>
        </w:rPr>
        <w:t>）本项目为整体方案采购，不接受部分投标，不接受联合体投标，不接受转包或分包</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具有投资控股关系的关联企业，或具有直接管理和被管理关系的母子公司，或同一母公司的子公司，或法定代表人为同一个人的两个及两个以上法人，或某一投标人的高管或高管的亲属为另一投标人的高管等可能会导致其在本次采购活动中行动一致的，如存在以上情形内的任意一种，均不得同时参与本项目投标</w:t>
      </w:r>
      <w:r>
        <w:rPr>
          <w:rFonts w:hint="eastAsia" w:ascii="方正仿宋_GBK" w:hAnsi="方正仿宋_GBK" w:eastAsia="方正仿宋_GBK" w:cs="方正仿宋_GBK"/>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方正仿宋_GBK" w:hAnsi="方正仿宋_GBK" w:eastAsia="方正仿宋_GBK" w:cs="方正仿宋_GBK"/>
          <w:b/>
          <w:color w:val="auto"/>
          <w:sz w:val="21"/>
          <w:szCs w:val="21"/>
          <w:lang w:val="en-US" w:eastAsia="zh-CN"/>
        </w:rPr>
      </w:pPr>
      <w:r>
        <w:rPr>
          <w:rFonts w:hint="eastAsia" w:ascii="方正仿宋_GBK" w:hAnsi="方正仿宋_GBK" w:eastAsia="方正仿宋_GBK" w:cs="方正仿宋_GBK"/>
          <w:b/>
          <w:color w:val="auto"/>
          <w:sz w:val="21"/>
          <w:szCs w:val="21"/>
          <w:lang w:val="en-US" w:eastAsia="zh-CN"/>
        </w:rPr>
        <w:t>七、采购文件的获取</w:t>
      </w:r>
    </w:p>
    <w:p>
      <w:pPr>
        <w:spacing w:line="400" w:lineRule="exact"/>
        <w:ind w:firstLine="420" w:firstLineChars="200"/>
        <w:rPr>
          <w:rFonts w:hint="eastAsia" w:ascii="方正仿宋_GBK" w:hAnsi="方正仿宋_GBK" w:eastAsia="方正仿宋_GBK" w:cs="方正仿宋_GBK"/>
          <w:b/>
          <w:color w:val="auto"/>
          <w:szCs w:val="21"/>
        </w:rPr>
      </w:pPr>
      <w:r>
        <w:rPr>
          <w:rFonts w:hint="default" w:ascii="方正仿宋_GBK" w:hAnsi="方正仿宋_GBK" w:eastAsia="方正仿宋_GBK" w:cs="方正仿宋_GBK"/>
          <w:color w:val="auto"/>
          <w:kern w:val="2"/>
          <w:sz w:val="21"/>
          <w:szCs w:val="21"/>
          <w:lang w:val="en-US" w:eastAsia="zh-CN" w:bidi="ar-SA"/>
        </w:rPr>
        <w:t>本项目只提供电子版采购文件，请潜在合格供应商于公告之日起至202</w:t>
      </w:r>
      <w:r>
        <w:rPr>
          <w:rFonts w:hint="eastAsia" w:ascii="方正仿宋_GBK" w:hAnsi="方正仿宋_GBK" w:eastAsia="方正仿宋_GBK" w:cs="方正仿宋_GBK"/>
          <w:color w:val="auto"/>
          <w:kern w:val="2"/>
          <w:sz w:val="21"/>
          <w:szCs w:val="21"/>
          <w:lang w:val="en-US" w:eastAsia="zh-CN" w:bidi="ar-SA"/>
        </w:rPr>
        <w:t>4</w:t>
      </w:r>
      <w:r>
        <w:rPr>
          <w:rFonts w:hint="default" w:ascii="方正仿宋_GBK" w:hAnsi="方正仿宋_GBK" w:eastAsia="方正仿宋_GBK" w:cs="方正仿宋_GBK"/>
          <w:color w:val="auto"/>
          <w:kern w:val="2"/>
          <w:sz w:val="21"/>
          <w:szCs w:val="21"/>
          <w:lang w:val="en-US" w:eastAsia="zh-CN" w:bidi="ar-SA"/>
        </w:rPr>
        <w:t>年</w:t>
      </w:r>
      <w:r>
        <w:rPr>
          <w:rFonts w:hint="eastAsia" w:ascii="方正仿宋_GBK" w:hAnsi="方正仿宋_GBK" w:eastAsia="方正仿宋_GBK" w:cs="方正仿宋_GBK"/>
          <w:b w:val="0"/>
          <w:bCs/>
          <w:szCs w:val="21"/>
          <w:lang w:eastAsia="zh-CN"/>
        </w:rPr>
        <w:t>6</w:t>
      </w:r>
      <w:r>
        <w:rPr>
          <w:rFonts w:hint="default" w:ascii="方正仿宋_GBK" w:hAnsi="方正仿宋_GBK" w:eastAsia="方正仿宋_GBK" w:cs="方正仿宋_GBK"/>
          <w:bCs/>
          <w:color w:val="auto"/>
          <w:kern w:val="2"/>
          <w:sz w:val="21"/>
          <w:szCs w:val="21"/>
          <w:lang w:val="en-US" w:eastAsia="zh-CN" w:bidi="ar-SA"/>
        </w:rPr>
        <w:t>月</w:t>
      </w:r>
      <w:r>
        <w:rPr>
          <w:rFonts w:hint="eastAsia" w:ascii="方正仿宋_GBK" w:hAnsi="方正仿宋_GBK" w:eastAsia="方正仿宋_GBK" w:cs="方正仿宋_GBK"/>
          <w:b w:val="0"/>
          <w:bCs/>
          <w:szCs w:val="21"/>
          <w:lang w:eastAsia="zh-CN"/>
        </w:rPr>
        <w:t>2</w:t>
      </w:r>
      <w:r>
        <w:rPr>
          <w:rFonts w:hint="eastAsia" w:ascii="方正仿宋_GBK" w:hAnsi="方正仿宋_GBK" w:eastAsia="方正仿宋_GBK" w:cs="方正仿宋_GBK"/>
          <w:b w:val="0"/>
          <w:bCs/>
          <w:szCs w:val="21"/>
          <w:lang w:val="en-US" w:eastAsia="zh-CN"/>
        </w:rPr>
        <w:t>4</w:t>
      </w:r>
      <w:r>
        <w:rPr>
          <w:rFonts w:hint="default" w:ascii="方正仿宋_GBK" w:hAnsi="方正仿宋_GBK" w:eastAsia="方正仿宋_GBK" w:cs="方正仿宋_GBK"/>
          <w:color w:val="auto"/>
          <w:kern w:val="2"/>
          <w:sz w:val="21"/>
          <w:szCs w:val="21"/>
          <w:lang w:val="en-US" w:eastAsia="zh-CN" w:bidi="ar-SA"/>
        </w:rPr>
        <w:t>日下午18:00止，登陆</w:t>
      </w:r>
      <w:r>
        <w:rPr>
          <w:rFonts w:hint="eastAsia" w:ascii="方正仿宋_GBK" w:hAnsi="方正仿宋_GBK" w:eastAsia="方正仿宋_GBK" w:cs="方正仿宋_GBK"/>
          <w:color w:val="auto"/>
          <w:kern w:val="2"/>
          <w:sz w:val="21"/>
          <w:szCs w:val="21"/>
          <w:lang w:val="en-US" w:eastAsia="zh-CN" w:bidi="ar-SA"/>
        </w:rPr>
        <w:t>广西北部湾银行官网</w:t>
      </w:r>
      <w:r>
        <w:rPr>
          <w:rFonts w:hint="default" w:ascii="方正仿宋_GBK" w:hAnsi="方正仿宋_GBK" w:eastAsia="方正仿宋_GBK" w:cs="方正仿宋_GBK"/>
          <w:color w:val="auto"/>
          <w:kern w:val="2"/>
          <w:sz w:val="21"/>
          <w:szCs w:val="21"/>
          <w:lang w:val="en-US" w:eastAsia="zh-CN" w:bidi="ar-SA"/>
        </w:rPr>
        <w:t>（</w:t>
      </w:r>
      <w:r>
        <w:rPr>
          <w:rFonts w:hint="eastAsia" w:ascii="方正仿宋_GBK" w:hAnsi="方正仿宋_GBK" w:eastAsia="方正仿宋_GBK" w:cs="方正仿宋_GBK"/>
          <w:color w:val="auto"/>
          <w:sz w:val="21"/>
          <w:szCs w:val="21"/>
        </w:rPr>
        <w:t>www.bankofbbg.com</w:t>
      </w:r>
      <w:r>
        <w:rPr>
          <w:rFonts w:hint="default" w:ascii="方正仿宋_GBK" w:hAnsi="方正仿宋_GBK" w:eastAsia="方正仿宋_GBK" w:cs="方正仿宋_GBK"/>
          <w:color w:val="auto"/>
          <w:kern w:val="2"/>
          <w:sz w:val="21"/>
          <w:szCs w:val="21"/>
          <w:lang w:val="en-US" w:eastAsia="zh-CN" w:bidi="ar-SA"/>
        </w:rPr>
        <w:t>）,在线下载完成采购文件的获取。获取方式：网站首页“</w:t>
      </w:r>
      <w:r>
        <w:rPr>
          <w:rFonts w:hint="eastAsia" w:ascii="方正仿宋_GBK" w:hAnsi="方正仿宋_GBK" w:eastAsia="方正仿宋_GBK" w:cs="方正仿宋_GBK"/>
          <w:color w:val="auto"/>
          <w:kern w:val="2"/>
          <w:sz w:val="21"/>
          <w:szCs w:val="21"/>
          <w:lang w:val="en-US" w:eastAsia="zh-CN" w:bidi="ar-SA"/>
        </w:rPr>
        <w:t>关于我行</w:t>
      </w:r>
      <w:r>
        <w:rPr>
          <w:rFonts w:hint="default" w:ascii="方正仿宋_GBK" w:hAnsi="方正仿宋_GBK" w:eastAsia="方正仿宋_GBK" w:cs="方正仿宋_GBK"/>
          <w:color w:val="auto"/>
          <w:kern w:val="2"/>
          <w:sz w:val="21"/>
          <w:szCs w:val="21"/>
          <w:lang w:val="en-US" w:eastAsia="zh-CN" w:bidi="ar-SA"/>
        </w:rPr>
        <w:t>”之“</w:t>
      </w:r>
      <w:r>
        <w:rPr>
          <w:rFonts w:hint="eastAsia" w:ascii="方正仿宋_GBK" w:hAnsi="方正仿宋_GBK" w:eastAsia="方正仿宋_GBK" w:cs="方正仿宋_GBK"/>
          <w:color w:val="auto"/>
          <w:kern w:val="2"/>
          <w:sz w:val="21"/>
          <w:szCs w:val="21"/>
          <w:lang w:val="en-US" w:eastAsia="zh-CN" w:bidi="ar-SA"/>
        </w:rPr>
        <w:t>采购信息-采购公告</w:t>
      </w:r>
      <w:r>
        <w:rPr>
          <w:rFonts w:hint="default" w:ascii="方正仿宋_GBK" w:hAnsi="方正仿宋_GBK" w:eastAsia="方正仿宋_GBK" w:cs="方正仿宋_GBK"/>
          <w:color w:val="auto"/>
          <w:kern w:val="2"/>
          <w:sz w:val="21"/>
          <w:szCs w:val="21"/>
          <w:lang w:val="en-US" w:eastAsia="zh-CN" w:bidi="ar-SA"/>
        </w:rPr>
        <w:t>”栏目中点击下载。</w:t>
      </w:r>
    </w:p>
    <w:p>
      <w:pPr>
        <w:spacing w:line="400" w:lineRule="exact"/>
        <w:ind w:firstLine="422" w:firstLineChars="200"/>
        <w:rPr>
          <w:rFonts w:hint="eastAsia" w:ascii="方正仿宋_GBK" w:hAnsi="方正仿宋_GBK" w:eastAsia="方正仿宋_GBK" w:cs="方正仿宋_GBK"/>
          <w:b/>
          <w:szCs w:val="21"/>
          <w:lang w:eastAsia="zh-CN"/>
        </w:rPr>
      </w:pP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lang w:val="en-US" w:eastAsia="zh-CN"/>
        </w:rPr>
        <w:t>八</w:t>
      </w:r>
      <w:r>
        <w:rPr>
          <w:rFonts w:hint="eastAsia" w:ascii="方正仿宋_GBK" w:hAnsi="方正仿宋_GBK" w:eastAsia="方正仿宋_GBK" w:cs="方正仿宋_GBK"/>
          <w:b/>
          <w:szCs w:val="21"/>
        </w:rPr>
        <w:t>、响应文件递交截止时间和地点：本项目无报名环节，响应文件必须以密封形式于2024年</w:t>
      </w:r>
      <w:r>
        <w:rPr>
          <w:rFonts w:hint="eastAsia" w:ascii="方正仿宋_GBK" w:hAnsi="方正仿宋_GBK" w:eastAsia="方正仿宋_GBK" w:cs="方正仿宋_GBK"/>
          <w:b/>
          <w:szCs w:val="21"/>
          <w:lang w:val="en-US" w:eastAsia="zh-CN"/>
        </w:rPr>
        <w:t>6</w:t>
      </w:r>
      <w:r>
        <w:rPr>
          <w:rFonts w:hint="eastAsia" w:ascii="方正仿宋_GBK" w:hAnsi="方正仿宋_GBK" w:eastAsia="方正仿宋_GBK" w:cs="方正仿宋_GBK"/>
          <w:b/>
          <w:szCs w:val="21"/>
        </w:rPr>
        <w:t>月</w:t>
      </w:r>
      <w:r>
        <w:rPr>
          <w:rFonts w:hint="eastAsia" w:ascii="方正仿宋_GBK" w:hAnsi="方正仿宋_GBK" w:eastAsia="方正仿宋_GBK" w:cs="方正仿宋_GBK"/>
          <w:b/>
          <w:szCs w:val="21"/>
          <w:lang w:val="en-US" w:eastAsia="zh-CN"/>
        </w:rPr>
        <w:t>24</w:t>
      </w:r>
      <w:r>
        <w:rPr>
          <w:rFonts w:hint="eastAsia" w:ascii="方正仿宋_GBK" w:hAnsi="方正仿宋_GBK" w:eastAsia="方正仿宋_GBK" w:cs="方正仿宋_GBK"/>
          <w:b/>
          <w:szCs w:val="21"/>
        </w:rPr>
        <w:t>日18时整前在广西北部湾银行（南宁市良庆区云英路8号五象总部大厦A座905办公室）递交，逾期不受理。</w:t>
      </w:r>
    </w:p>
    <w:p>
      <w:pPr>
        <w:spacing w:line="400" w:lineRule="exact"/>
        <w:ind w:firstLine="422" w:firstLineChars="200"/>
        <w:rPr>
          <w:rFonts w:ascii="方正仿宋_GBK" w:hAnsi="方正仿宋_GBK" w:eastAsia="方正仿宋_GBK" w:cs="方正仿宋_GBK"/>
          <w:bCs/>
          <w:szCs w:val="21"/>
        </w:rPr>
      </w:pPr>
      <w:r>
        <w:rPr>
          <w:rFonts w:hint="eastAsia" w:ascii="方正仿宋_GBK" w:hAnsi="方正仿宋_GBK" w:eastAsia="方正仿宋_GBK" w:cs="方正仿宋_GBK"/>
          <w:b/>
          <w:szCs w:val="21"/>
        </w:rPr>
        <w:t>（一）采用现场提交的，需遵守以下规定：</w:t>
      </w:r>
      <w:r>
        <w:rPr>
          <w:rFonts w:hint="eastAsia" w:ascii="方正仿宋_GBK" w:hAnsi="方正仿宋_GBK" w:eastAsia="方正仿宋_GBK" w:cs="方正仿宋_GBK"/>
          <w:bCs/>
          <w:szCs w:val="21"/>
        </w:rPr>
        <w:t>供应商应在响应文件提交起止时间内，将响应文件密封送达投标地点，未在规定时间内送达或者未按照采购文件要求密封的响应文件，将予以拒收。</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（二）采用邮寄方式提交的，需遵守以下规定：</w:t>
      </w:r>
    </w:p>
    <w:p>
      <w:pPr>
        <w:spacing w:line="400" w:lineRule="exact"/>
        <w:ind w:firstLine="420" w:firstLineChars="200"/>
        <w:rPr>
          <w:rFonts w:ascii="方正仿宋_GBK" w:hAnsi="方正仿宋_GBK" w:eastAsia="方正仿宋_GBK" w:cs="方正仿宋_GBK"/>
          <w:bCs/>
          <w:szCs w:val="21"/>
        </w:rPr>
      </w:pPr>
      <w:r>
        <w:rPr>
          <w:rFonts w:hint="eastAsia" w:ascii="方正仿宋_GBK" w:hAnsi="方正仿宋_GBK" w:eastAsia="方正仿宋_GBK" w:cs="方正仿宋_GBK"/>
          <w:bCs/>
          <w:szCs w:val="21"/>
        </w:rPr>
        <w:t>1.竞标人应预留邮寄响应文件行程的足够时间，如邮寄的响应文件无法在报价截止时间前送达的（寄出不能等同于送达；快递公司网站显示送达不能等同于实际送达），或者未按照采购文件要求密封的响应文件，将予以拒收，后果由供应商自行承担。</w:t>
      </w:r>
    </w:p>
    <w:p>
      <w:pPr>
        <w:spacing w:line="400" w:lineRule="exact"/>
        <w:ind w:firstLine="420" w:firstLineChars="200"/>
        <w:rPr>
          <w:rFonts w:ascii="方正仿宋_GBK" w:hAnsi="方正仿宋_GBK" w:eastAsia="方正仿宋_GBK" w:cs="方正仿宋_GBK"/>
          <w:bCs/>
          <w:szCs w:val="21"/>
        </w:rPr>
      </w:pPr>
      <w:r>
        <w:rPr>
          <w:rFonts w:hint="eastAsia" w:ascii="方正仿宋_GBK" w:hAnsi="方正仿宋_GBK" w:eastAsia="方正仿宋_GBK" w:cs="方正仿宋_GBK"/>
          <w:bCs/>
          <w:szCs w:val="21"/>
        </w:rPr>
        <w:t>2.响应文件在邮寄过程中破损或遗失的，其后果由供应商自行承担。友情提醒：普通牛皮纸包装在快递运输过程中极易破损，建议采用韧性更佳的包装材料。</w:t>
      </w:r>
    </w:p>
    <w:p>
      <w:pPr>
        <w:spacing w:line="400" w:lineRule="exact"/>
        <w:ind w:firstLine="420" w:firstLineChars="200"/>
        <w:rPr>
          <w:rFonts w:ascii="方正仿宋_GBK" w:hAnsi="方正仿宋_GBK" w:eastAsia="方正仿宋_GBK" w:cs="方正仿宋_GBK"/>
          <w:bCs/>
          <w:szCs w:val="21"/>
        </w:rPr>
      </w:pPr>
      <w:r>
        <w:rPr>
          <w:rFonts w:hint="eastAsia" w:ascii="方正仿宋_GBK" w:hAnsi="方正仿宋_GBK" w:eastAsia="方正仿宋_GBK" w:cs="方正仿宋_GBK"/>
          <w:bCs/>
          <w:szCs w:val="21"/>
        </w:rPr>
        <w:t>3.邮递地址：广西南宁市良庆区云英路8号五象总部大厦A座905办公室，林欢欢/</w:t>
      </w:r>
      <w:r>
        <w:rPr>
          <w:rFonts w:hint="eastAsia" w:ascii="方正仿宋_GBK" w:hAnsi="方正仿宋_GBK" w:eastAsia="方正仿宋_GBK" w:cs="方正仿宋_GBK"/>
          <w:bCs/>
          <w:szCs w:val="21"/>
          <w:lang w:val="en-US" w:eastAsia="zh-CN"/>
        </w:rPr>
        <w:t>钟善焯</w:t>
      </w:r>
      <w:r>
        <w:rPr>
          <w:rFonts w:hint="eastAsia" w:ascii="方正仿宋_GBK" w:hAnsi="方正仿宋_GBK" w:eastAsia="方正仿宋_GBK" w:cs="方正仿宋_GBK"/>
          <w:bCs/>
          <w:szCs w:val="21"/>
        </w:rPr>
        <w:t>（收），联系电话：0771-6115363/18977119519。</w:t>
      </w:r>
    </w:p>
    <w:p>
      <w:pPr>
        <w:spacing w:line="400" w:lineRule="exact"/>
        <w:ind w:firstLine="422" w:firstLineChars="200"/>
        <w:rPr>
          <w:rFonts w:ascii="方正仿宋_GBK" w:hAnsi="方正仿宋_GBK" w:eastAsia="方正仿宋_GBK" w:cs="方正仿宋_GBK"/>
          <w:szCs w:val="21"/>
        </w:rPr>
      </w:pPr>
      <w:r>
        <w:rPr>
          <w:rFonts w:hint="eastAsia" w:ascii="方正仿宋_GBK" w:hAnsi="方正仿宋_GBK" w:eastAsia="方正仿宋_GBK" w:cs="方正仿宋_GBK"/>
          <w:b/>
          <w:szCs w:val="21"/>
          <w:lang w:val="en-US" w:eastAsia="zh-CN"/>
        </w:rPr>
        <w:t>九</w:t>
      </w:r>
      <w:r>
        <w:rPr>
          <w:rFonts w:hint="eastAsia" w:ascii="方正仿宋_GBK" w:hAnsi="方正仿宋_GBK" w:eastAsia="方正仿宋_GBK" w:cs="方正仿宋_GBK"/>
          <w:b/>
          <w:szCs w:val="21"/>
        </w:rPr>
        <w:t>、磋商时间及地点：</w:t>
      </w:r>
      <w:r>
        <w:rPr>
          <w:rFonts w:hint="eastAsia" w:ascii="方正仿宋_GBK" w:hAnsi="方正仿宋_GBK" w:eastAsia="方正仿宋_GBK" w:cs="方正仿宋_GBK"/>
          <w:b/>
          <w:bCs/>
          <w:szCs w:val="21"/>
        </w:rPr>
        <w:t>具体时间另行通知。</w:t>
      </w:r>
      <w:r>
        <w:rPr>
          <w:rFonts w:hint="eastAsia" w:ascii="方正仿宋_GBK" w:hAnsi="方正仿宋_GBK" w:eastAsia="方正仿宋_GBK" w:cs="方正仿宋_GBK"/>
          <w:szCs w:val="21"/>
        </w:rPr>
        <w:t>地点：</w:t>
      </w:r>
      <w:r>
        <w:rPr>
          <w:rFonts w:hint="eastAsia" w:ascii="方正仿宋_GBK" w:hAnsi="方正仿宋_GBK" w:eastAsia="方正仿宋_GBK" w:cs="方正仿宋_GBK"/>
          <w:b/>
          <w:szCs w:val="21"/>
        </w:rPr>
        <w:t>广西南宁市良庆区云英路8号五象总部大厦A座广西北部湾银行总行会议室</w:t>
      </w:r>
      <w:r>
        <w:rPr>
          <w:rFonts w:hint="eastAsia" w:ascii="方正仿宋_GBK" w:hAnsi="方正仿宋_GBK" w:eastAsia="方正仿宋_GBK" w:cs="方正仿宋_GBK"/>
          <w:szCs w:val="21"/>
        </w:rPr>
        <w:t>，</w:t>
      </w:r>
      <w:r>
        <w:rPr>
          <w:rFonts w:hint="eastAsia" w:ascii="方正仿宋_GBK" w:hAnsi="方正仿宋_GBK" w:eastAsia="方正仿宋_GBK" w:cs="方正仿宋_GBK"/>
          <w:b/>
          <w:bCs/>
          <w:szCs w:val="21"/>
        </w:rPr>
        <w:t>参加竞标的法定代表人或委托代理人必须持有效身份证原件，依时到达指定地点等候远程或当面磋商。</w:t>
      </w:r>
      <w:r>
        <w:rPr>
          <w:rFonts w:hint="eastAsia" w:ascii="Times New Roman" w:hAnsi="Times New Roman" w:eastAsia="方正仿宋_GBK" w:cs="Times New Roman"/>
          <w:color w:val="auto"/>
          <w:sz w:val="21"/>
          <w:szCs w:val="21"/>
          <w:highlight w:val="none"/>
        </w:rPr>
        <w:t>每家供应商述标时间为10分钟，根据项目需求准备工作措施阐述分析，主要包括对广西北部湾银行</w:t>
      </w:r>
      <w:r>
        <w:rPr>
          <w:rFonts w:hint="eastAsia" w:ascii="Times New Roman" w:hAnsi="Times New Roman" w:eastAsia="方正仿宋_GBK" w:cs="Times New Roman"/>
          <w:color w:val="auto"/>
          <w:sz w:val="21"/>
          <w:szCs w:val="21"/>
          <w:highlight w:val="none"/>
          <w:lang w:eastAsia="zh-CN"/>
        </w:rPr>
        <w:t>理财业务及理财产品</w:t>
      </w:r>
      <w:r>
        <w:rPr>
          <w:rFonts w:hint="eastAsia" w:eastAsia="方正仿宋_GBK"/>
          <w:b w:val="0"/>
          <w:bCs w:val="0"/>
          <w:color w:val="auto"/>
          <w:szCs w:val="21"/>
          <w:highlight w:val="none"/>
          <w:lang w:eastAsia="zh-CN"/>
        </w:rPr>
        <w:t>审计项目的内容、重点、程序、方法、预期效果</w:t>
      </w:r>
      <w:r>
        <w:rPr>
          <w:rFonts w:hint="eastAsia" w:ascii="Times New Roman" w:hAnsi="Times New Roman" w:eastAsia="方正仿宋_GBK" w:cs="Times New Roman"/>
          <w:color w:val="auto"/>
          <w:sz w:val="21"/>
          <w:szCs w:val="21"/>
          <w:highlight w:val="none"/>
        </w:rPr>
        <w:t>进行阐释与展示，项目的主要述标人必须为项目负责人。</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lang w:val="en-US" w:eastAsia="zh-CN"/>
        </w:rPr>
        <w:t>十</w:t>
      </w:r>
      <w:r>
        <w:rPr>
          <w:rFonts w:hint="eastAsia" w:ascii="方正仿宋_GBK" w:hAnsi="方正仿宋_GBK" w:eastAsia="方正仿宋_GBK" w:cs="方正仿宋_GBK"/>
          <w:b/>
          <w:szCs w:val="21"/>
        </w:rPr>
        <w:t>、联系电话及通讯地址：</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采购人：广西北部湾银行股份有限公司</w:t>
      </w:r>
    </w:p>
    <w:p>
      <w:pPr>
        <w:spacing w:line="400" w:lineRule="exact"/>
        <w:ind w:firstLine="420" w:firstLineChars="200"/>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color w:val="auto"/>
          <w:szCs w:val="21"/>
        </w:rPr>
        <w:t>项目联系人：</w:t>
      </w:r>
      <w:r>
        <w:rPr>
          <w:rFonts w:hint="eastAsia" w:ascii="方正仿宋_GBK" w:hAnsi="方正仿宋_GBK" w:eastAsia="方正仿宋_GBK" w:cs="方正仿宋_GBK"/>
          <w:color w:val="auto"/>
          <w:szCs w:val="21"/>
          <w:lang w:eastAsia="zh-CN"/>
        </w:rPr>
        <w:t>李霞、陈钦银</w:t>
      </w:r>
    </w:p>
    <w:p>
      <w:pPr>
        <w:spacing w:line="400" w:lineRule="exact"/>
        <w:ind w:firstLine="420" w:firstLineChars="200"/>
        <w:rPr>
          <w:rFonts w:hint="eastAsia" w:ascii="方正仿宋_GBK" w:hAnsi="方正仿宋_GBK" w:eastAsia="方正仿宋_GBK" w:cs="方正仿宋_GBK"/>
          <w:color w:val="auto"/>
          <w:szCs w:val="21"/>
          <w:lang w:val="en-US"/>
        </w:rPr>
      </w:pPr>
      <w:r>
        <w:rPr>
          <w:rFonts w:hint="eastAsia" w:ascii="方正仿宋_GBK" w:hAnsi="方正仿宋_GBK" w:eastAsia="方正仿宋_GBK" w:cs="方正仿宋_GBK"/>
          <w:color w:val="auto"/>
          <w:szCs w:val="21"/>
        </w:rPr>
        <w:t>联系电话：0771-</w:t>
      </w:r>
      <w:r>
        <w:rPr>
          <w:rFonts w:hint="eastAsia" w:ascii="方正仿宋_GBK" w:hAnsi="方正仿宋_GBK" w:eastAsia="方正仿宋_GBK" w:cs="方正仿宋_GBK"/>
          <w:color w:val="auto"/>
          <w:szCs w:val="21"/>
          <w:lang w:val="en-US" w:eastAsia="zh-CN"/>
        </w:rPr>
        <w:t>2030551/18275950267、0771-6115201/13397816730</w:t>
      </w:r>
    </w:p>
    <w:p>
      <w:pPr>
        <w:spacing w:line="400" w:lineRule="exact"/>
        <w:ind w:firstLine="420" w:firstLineChars="200"/>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地址：南宁市良庆区云英路8号五象总部大厦A座</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采购联系人：林欢欢、</w:t>
      </w:r>
      <w:r>
        <w:rPr>
          <w:rFonts w:hint="eastAsia" w:ascii="方正仿宋_GBK" w:hAnsi="方正仿宋_GBK" w:eastAsia="方正仿宋_GBK" w:cs="方正仿宋_GBK"/>
          <w:szCs w:val="21"/>
          <w:lang w:val="en-US" w:eastAsia="zh-CN"/>
        </w:rPr>
        <w:t>钟善焯</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联系电话：0771-6115363，18977119519</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邮箱：bhcg@bankofbbg.com</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地址：南宁市良庆区云英路8号五象总部大厦A座</w:t>
      </w:r>
    </w:p>
    <w:p>
      <w:pPr>
        <w:spacing w:line="400" w:lineRule="exact"/>
        <w:ind w:firstLine="420" w:firstLineChars="200"/>
        <w:rPr>
          <w:rFonts w:ascii="方正仿宋_GBK" w:hAnsi="方正仿宋_GBK" w:eastAsia="方正仿宋_GBK" w:cs="方正仿宋_GBK"/>
          <w:b/>
          <w:szCs w:val="21"/>
        </w:rPr>
      </w:pPr>
      <w:r>
        <w:rPr>
          <w:rFonts w:hint="eastAsia" w:ascii="方正仿宋_GBK" w:hAnsi="方正仿宋_GBK" w:eastAsia="方正仿宋_GBK" w:cs="方正仿宋_GBK"/>
          <w:bCs/>
          <w:szCs w:val="21"/>
        </w:rPr>
        <w:t>咨询时间：工作日上午8:30-12:00，下午14:30-18:00</w:t>
      </w:r>
    </w:p>
    <w:p>
      <w:pPr>
        <w:spacing w:line="400" w:lineRule="exact"/>
        <w:ind w:firstLine="422" w:firstLineChars="200"/>
        <w:rPr>
          <w:rFonts w:ascii="方正仿宋_GBK" w:hAnsi="方正仿宋_GBK" w:eastAsia="方正仿宋_GBK" w:cs="方正仿宋_GBK"/>
          <w:szCs w:val="21"/>
        </w:rPr>
      </w:pPr>
      <w:r>
        <w:rPr>
          <w:rFonts w:hint="eastAsia" w:ascii="方正仿宋_GBK" w:hAnsi="方正仿宋_GBK" w:eastAsia="方正仿宋_GBK" w:cs="方正仿宋_GBK"/>
          <w:b/>
          <w:szCs w:val="21"/>
        </w:rPr>
        <w:t>十</w:t>
      </w:r>
      <w:r>
        <w:rPr>
          <w:rFonts w:hint="eastAsia" w:ascii="方正仿宋_GBK" w:hAnsi="方正仿宋_GBK" w:eastAsia="方正仿宋_GBK" w:cs="方正仿宋_GBK"/>
          <w:b/>
          <w:szCs w:val="21"/>
          <w:lang w:val="en-US" w:eastAsia="zh-CN"/>
        </w:rPr>
        <w:t>一</w:t>
      </w:r>
      <w:r>
        <w:rPr>
          <w:rFonts w:hint="eastAsia" w:ascii="方正仿宋_GBK" w:hAnsi="方正仿宋_GBK" w:eastAsia="方正仿宋_GBK" w:cs="方正仿宋_GBK"/>
          <w:b/>
          <w:szCs w:val="21"/>
        </w:rPr>
        <w:t>、公告网站：</w:t>
      </w:r>
      <w:r>
        <w:rPr>
          <w:rFonts w:hint="eastAsia" w:ascii="方正仿宋_GBK" w:hAnsi="方正仿宋_GBK" w:eastAsia="方正仿宋_GBK" w:cs="方正仿宋_GBK"/>
          <w:color w:val="auto"/>
          <w:sz w:val="21"/>
          <w:szCs w:val="21"/>
          <w:lang w:val="en-US" w:eastAsia="zh-CN"/>
        </w:rPr>
        <w:t>广西阳光采购服务平台https://gxygcg.ejy365.com、</w:t>
      </w:r>
      <w:r>
        <w:rPr>
          <w:rFonts w:hint="eastAsia" w:ascii="方正仿宋_GBK" w:hAnsi="方正仿宋_GBK" w:eastAsia="方正仿宋_GBK" w:cs="方正仿宋_GBK"/>
          <w:szCs w:val="21"/>
        </w:rPr>
        <w:t>广西北部湾银行官网www.bankofbbg.com。</w:t>
      </w:r>
    </w:p>
    <w:p>
      <w:pPr>
        <w:spacing w:line="400" w:lineRule="exact"/>
        <w:jc w:val="right"/>
        <w:rPr>
          <w:rFonts w:ascii="方正仿宋_GBK" w:hAnsi="方正仿宋_GBK" w:eastAsia="方正仿宋_GBK" w:cs="方正仿宋_GBK"/>
          <w:szCs w:val="21"/>
        </w:rPr>
      </w:pPr>
    </w:p>
    <w:p>
      <w:pPr>
        <w:spacing w:line="400" w:lineRule="exact"/>
        <w:jc w:val="right"/>
        <w:rPr>
          <w:rFonts w:ascii="方正仿宋_GBK" w:hAnsi="方正仿宋_GBK" w:eastAsia="方正仿宋_GBK" w:cs="方正仿宋_GBK"/>
          <w:szCs w:val="21"/>
        </w:rPr>
      </w:pPr>
    </w:p>
    <w:p>
      <w:pPr>
        <w:spacing w:line="400" w:lineRule="exact"/>
        <w:jc w:val="righ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广西北部湾银行股份有限公司</w:t>
      </w:r>
    </w:p>
    <w:p>
      <w:pPr>
        <w:snapToGrid/>
        <w:spacing w:line="400" w:lineRule="exact"/>
        <w:ind w:right="0"/>
        <w:jc w:val="right"/>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Cs w:val="21"/>
        </w:rPr>
        <w:t>2024年</w:t>
      </w:r>
      <w:r>
        <w:rPr>
          <w:rFonts w:hint="eastAsia" w:ascii="方正仿宋_GBK" w:hAnsi="方正仿宋_GBK" w:eastAsia="方正仿宋_GBK" w:cs="方正仿宋_GBK"/>
          <w:szCs w:val="21"/>
          <w:lang w:val="en-US" w:eastAsia="zh-CN"/>
        </w:rPr>
        <w:t>6</w:t>
      </w:r>
      <w:r>
        <w:rPr>
          <w:rFonts w:hint="eastAsia" w:ascii="方正仿宋_GBK" w:hAnsi="方正仿宋_GBK" w:eastAsia="方正仿宋_GBK" w:cs="方正仿宋_GBK"/>
          <w:szCs w:val="21"/>
        </w:rPr>
        <w:t>月</w:t>
      </w:r>
      <w:r>
        <w:rPr>
          <w:rFonts w:hint="eastAsia" w:ascii="方正仿宋_GBK" w:hAnsi="方正仿宋_GBK" w:eastAsia="方正仿宋_GBK" w:cs="方正仿宋_GBK"/>
          <w:szCs w:val="21"/>
          <w:lang w:val="en-US" w:eastAsia="zh-CN"/>
        </w:rPr>
        <w:t>11</w:t>
      </w:r>
      <w:r>
        <w:rPr>
          <w:rFonts w:hint="eastAsia" w:ascii="方正仿宋_GBK" w:hAnsi="方正仿宋_GBK" w:eastAsia="方正仿宋_GBK" w:cs="方正仿宋_GBK"/>
          <w:szCs w:val="21"/>
        </w:rPr>
        <w:t>日</w:t>
      </w:r>
      <w:r>
        <w:rPr>
          <w:rFonts w:hint="eastAsia" w:ascii="方正仿宋_GBK" w:hAnsi="方正仿宋_GBK" w:eastAsia="方正仿宋_GBK" w:cs="方正仿宋_GBK"/>
          <w:sz w:val="22"/>
          <w:szCs w:val="22"/>
        </w:rPr>
        <w:t xml:space="preserve">  </w:t>
      </w:r>
    </w:p>
    <w:p>
      <w:pPr>
        <w:snapToGrid w:val="0"/>
        <w:ind w:right="482"/>
        <w:jc w:val="center"/>
        <w:outlineLvl w:val="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第一章 磋商供应商须知前附表</w:t>
      </w:r>
      <w:bookmarkEnd w:id="1"/>
    </w:p>
    <w:tbl>
      <w:tblPr>
        <w:tblStyle w:val="43"/>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858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8586" w:type="dxa"/>
            <w:vAlign w:val="center"/>
          </w:tcPr>
          <w:p>
            <w:pPr>
              <w:spacing w:line="36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项目名称：广西北部湾银行</w:t>
            </w:r>
            <w:r>
              <w:rPr>
                <w:rFonts w:hint="eastAsia" w:ascii="方正仿宋_GBK" w:hAnsi="方正仿宋_GBK" w:eastAsia="方正仿宋_GBK" w:cs="方正仿宋_GBK"/>
                <w:szCs w:val="21"/>
                <w:lang w:eastAsia="zh-CN"/>
              </w:rPr>
              <w:t>理财业务及理财产品外部审计</w:t>
            </w:r>
            <w:r>
              <w:rPr>
                <w:rFonts w:hint="eastAsia" w:ascii="方正仿宋_GBK" w:hAnsi="方正仿宋_GBK" w:eastAsia="方正仿宋_GBK" w:cs="方正仿宋_GBK"/>
                <w:bCs/>
                <w:szCs w:val="21"/>
              </w:rPr>
              <w:t>项目</w:t>
            </w:r>
          </w:p>
          <w:p>
            <w:pPr>
              <w:spacing w:line="360" w:lineRule="exact"/>
              <w:rPr>
                <w:rFonts w:hint="default" w:ascii="方正仿宋_GBK" w:hAnsi="方正仿宋_GBK" w:eastAsia="方正仿宋_GBK" w:cs="方正仿宋_GBK"/>
                <w:szCs w:val="21"/>
                <w:u w:val="single"/>
                <w:lang w:val="en-US" w:eastAsia="zh-CN"/>
              </w:rPr>
            </w:pPr>
            <w:r>
              <w:rPr>
                <w:rFonts w:hint="eastAsia" w:ascii="方正仿宋_GBK" w:hAnsi="方正仿宋_GBK" w:eastAsia="方正仿宋_GBK" w:cs="方正仿宋_GBK"/>
                <w:szCs w:val="21"/>
              </w:rPr>
              <w:t>项目编号：2024</w:t>
            </w:r>
            <w:r>
              <w:rPr>
                <w:rFonts w:hint="eastAsia" w:ascii="方正仿宋_GBK" w:hAnsi="方正仿宋_GBK" w:eastAsia="方正仿宋_GBK" w:cs="方正仿宋_GBK"/>
                <w:szCs w:val="21"/>
                <w:lang w:val="en-US" w:eastAsia="zh-CN"/>
              </w:rPr>
              <w:t>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8586" w:type="dxa"/>
            <w:vAlign w:val="center"/>
          </w:tcPr>
          <w:p>
            <w:pPr>
              <w:spacing w:line="360" w:lineRule="exact"/>
              <w:rPr>
                <w:rFonts w:ascii="方正仿宋_GBK" w:hAnsi="方正仿宋_GBK" w:eastAsia="方正仿宋_GBK" w:cs="方正仿宋_GBK"/>
              </w:rPr>
            </w:pPr>
            <w:r>
              <w:rPr>
                <w:rFonts w:hint="eastAsia" w:ascii="方正仿宋_GBK" w:hAnsi="方正仿宋_GBK" w:eastAsia="方正仿宋_GBK" w:cs="方正仿宋_GBK"/>
                <w:b/>
                <w:bCs/>
              </w:rPr>
              <w:t>磋商供应商资格：详见本项目“竞争性磋商公告”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8586"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b/>
                <w:szCs w:val="21"/>
              </w:rPr>
              <w:t>采购预算：不公布预算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8586" w:type="dxa"/>
            <w:vAlign w:val="center"/>
          </w:tcPr>
          <w:p>
            <w:pPr>
              <w:spacing w:line="360" w:lineRule="exact"/>
              <w:rPr>
                <w:rFonts w:ascii="方正仿宋_GBK" w:hAnsi="方正仿宋_GBK" w:eastAsia="方正仿宋_GBK" w:cs="方正仿宋_GBK"/>
                <w:b/>
                <w:sz w:val="22"/>
                <w:szCs w:val="22"/>
              </w:rPr>
            </w:pPr>
            <w:r>
              <w:rPr>
                <w:rFonts w:hint="eastAsia" w:ascii="方正仿宋_GBK" w:hAnsi="方正仿宋_GBK" w:eastAsia="方正仿宋_GBK" w:cs="方正仿宋_GBK"/>
                <w:szCs w:val="21"/>
              </w:rPr>
              <w:t>磋商报价：磋商供应商须就《采购需求》中的所有服务内容或某个分标内容作完整唯一报价，漏项报价的或有选择的或有条件的报价，其竞标将视为无效。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8586" w:type="dxa"/>
            <w:vAlign w:val="center"/>
          </w:tcPr>
          <w:p>
            <w:pPr>
              <w:pStyle w:val="22"/>
              <w:spacing w:line="360" w:lineRule="exact"/>
              <w:rPr>
                <w:rFonts w:ascii="方正仿宋_GBK" w:hAnsi="方正仿宋_GBK" w:eastAsia="方正仿宋_GBK" w:cs="方正仿宋_GBK"/>
                <w:szCs w:val="21"/>
              </w:rPr>
            </w:pPr>
            <w:r>
              <w:rPr>
                <w:rFonts w:hint="eastAsia" w:ascii="方正仿宋_GBK" w:hAnsi="方正仿宋_GBK" w:eastAsia="方正仿宋_GBK" w:cs="方正仿宋_GBK"/>
                <w:b/>
                <w:szCs w:val="21"/>
              </w:rPr>
              <w:t>磋商响应文件：</w:t>
            </w:r>
            <w:r>
              <w:rPr>
                <w:rFonts w:hint="eastAsia" w:ascii="方正仿宋_GBK" w:hAnsi="方正仿宋_GBK" w:eastAsia="方正仿宋_GBK" w:cs="方正仿宋_GBK"/>
                <w:b/>
                <w:color w:val="auto"/>
                <w:szCs w:val="21"/>
              </w:rPr>
              <w:t>正本一份，副本</w:t>
            </w:r>
            <w:r>
              <w:rPr>
                <w:rFonts w:hint="eastAsia" w:ascii="方正仿宋_GBK" w:hAnsi="方正仿宋_GBK" w:eastAsia="方正仿宋_GBK" w:cs="方正仿宋_GBK"/>
                <w:b/>
                <w:color w:val="auto"/>
                <w:szCs w:val="21"/>
                <w:highlight w:val="none"/>
              </w:rPr>
              <w:t>二份</w:t>
            </w:r>
            <w:r>
              <w:rPr>
                <w:rFonts w:hint="eastAsia" w:ascii="方正仿宋_GBK" w:hAnsi="方正仿宋_GBK" w:eastAsia="方正仿宋_GBK" w:cs="方正仿宋_GBK"/>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8586" w:type="dxa"/>
            <w:vAlign w:val="center"/>
          </w:tcPr>
          <w:p>
            <w:pPr>
              <w:pStyle w:val="22"/>
              <w:spacing w:line="36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磋商响应文件递交截止时间：</w:t>
            </w:r>
            <w:r>
              <w:rPr>
                <w:rFonts w:hint="eastAsia" w:ascii="方正仿宋_GBK" w:hAnsi="方正仿宋_GBK" w:eastAsia="方正仿宋_GBK" w:cs="方正仿宋_GBK"/>
                <w:szCs w:val="21"/>
                <w:u w:val="single"/>
              </w:rPr>
              <w:t>2024年</w:t>
            </w:r>
            <w:r>
              <w:rPr>
                <w:rFonts w:hint="eastAsia" w:ascii="方正仿宋_GBK" w:hAnsi="方正仿宋_GBK" w:eastAsia="方正仿宋_GBK" w:cs="方正仿宋_GBK"/>
                <w:szCs w:val="21"/>
                <w:u w:val="single"/>
                <w:lang w:val="en-US" w:eastAsia="zh-CN"/>
              </w:rPr>
              <w:t>6</w:t>
            </w:r>
            <w:r>
              <w:rPr>
                <w:rFonts w:hint="eastAsia" w:ascii="方正仿宋_GBK" w:hAnsi="方正仿宋_GBK" w:eastAsia="方正仿宋_GBK" w:cs="方正仿宋_GBK"/>
                <w:szCs w:val="21"/>
                <w:u w:val="single"/>
              </w:rPr>
              <w:t>月</w:t>
            </w:r>
            <w:r>
              <w:rPr>
                <w:rFonts w:hint="eastAsia" w:ascii="方正仿宋_GBK" w:hAnsi="方正仿宋_GBK" w:eastAsia="方正仿宋_GBK" w:cs="方正仿宋_GBK"/>
                <w:szCs w:val="21"/>
                <w:u w:val="single"/>
                <w:lang w:val="en-US" w:eastAsia="zh-CN"/>
              </w:rPr>
              <w:t>24</w:t>
            </w:r>
            <w:r>
              <w:rPr>
                <w:rFonts w:hint="eastAsia" w:ascii="方正仿宋_GBK" w:hAnsi="方正仿宋_GBK" w:eastAsia="方正仿宋_GBK" w:cs="方正仿宋_GBK"/>
                <w:szCs w:val="21"/>
                <w:u w:val="single"/>
              </w:rPr>
              <w:t>日18时整前</w:t>
            </w:r>
            <w:r>
              <w:rPr>
                <w:rFonts w:hint="eastAsia" w:ascii="方正仿宋_GBK" w:hAnsi="方正仿宋_GBK" w:eastAsia="方正仿宋_GBK" w:cs="方正仿宋_GBK"/>
                <w:szCs w:val="21"/>
              </w:rPr>
              <w:t>（此为竞标截止日期）</w:t>
            </w:r>
          </w:p>
          <w:p>
            <w:pPr>
              <w:snapToGrid w:val="0"/>
              <w:spacing w:line="340" w:lineRule="exact"/>
              <w:rPr>
                <w:rFonts w:ascii="方正仿宋_GBK" w:hAnsi="方正仿宋_GBK" w:eastAsia="方正仿宋_GBK" w:cs="方正仿宋_GBK"/>
              </w:rPr>
            </w:pPr>
            <w:r>
              <w:rPr>
                <w:rFonts w:hint="eastAsia" w:ascii="方正仿宋_GBK" w:hAnsi="方正仿宋_GBK" w:eastAsia="方正仿宋_GBK" w:cs="方正仿宋_GBK"/>
                <w:szCs w:val="21"/>
              </w:rPr>
              <w:t>递交地点：</w:t>
            </w:r>
            <w:r>
              <w:rPr>
                <w:rFonts w:hint="eastAsia" w:ascii="方正仿宋_GBK" w:hAnsi="方正仿宋_GBK" w:eastAsia="方正仿宋_GBK" w:cs="方正仿宋_GBK"/>
                <w:b/>
                <w:szCs w:val="21"/>
              </w:rPr>
              <w:t>广西南宁市良庆区云英路8号五象总部大厦A座905室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8586" w:type="dxa"/>
            <w:vAlign w:val="center"/>
          </w:tcPr>
          <w:p>
            <w:pPr>
              <w:spacing w:line="36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磋商时间：</w:t>
            </w:r>
            <w:r>
              <w:rPr>
                <w:rFonts w:hint="eastAsia" w:ascii="方正仿宋_GBK" w:hAnsi="方正仿宋_GBK" w:eastAsia="方正仿宋_GBK" w:cs="方正仿宋_GBK"/>
                <w:szCs w:val="21"/>
                <w:u w:val="single"/>
              </w:rPr>
              <w:t>具体时间另行通知。</w:t>
            </w:r>
          </w:p>
          <w:p>
            <w:pPr>
              <w:spacing w:line="360" w:lineRule="exact"/>
              <w:rPr>
                <w:rFonts w:ascii="方正仿宋_GBK" w:hAnsi="方正仿宋_GBK" w:eastAsia="方正仿宋_GBK" w:cs="方正仿宋_GBK"/>
                <w:b/>
                <w:szCs w:val="21"/>
              </w:rPr>
            </w:pPr>
            <w:r>
              <w:rPr>
                <w:rFonts w:hint="eastAsia" w:ascii="方正仿宋_GBK" w:hAnsi="方正仿宋_GBK" w:eastAsia="方正仿宋_GBK" w:cs="方正仿宋_GBK"/>
                <w:szCs w:val="21"/>
              </w:rPr>
              <w:t>磋商地点：</w:t>
            </w:r>
            <w:r>
              <w:rPr>
                <w:rFonts w:hint="eastAsia" w:ascii="方正仿宋_GBK" w:hAnsi="方正仿宋_GBK" w:eastAsia="方正仿宋_GBK" w:cs="方正仿宋_GBK"/>
                <w:b/>
                <w:szCs w:val="21"/>
              </w:rPr>
              <w:t>广西南宁市良庆区云英路8号五象总部大厦A座广西北部湾银行总行会议室</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1.磋商小组会要求磋商供应商在规定的时间内参加磋商、提交最终磋商报价及应答。供应商提交的应答文件、最终报价等材料必须由法定代表人或委托代理人签章或加盖供应商的公章确认。</w:t>
            </w:r>
          </w:p>
          <w:p>
            <w:pPr>
              <w:spacing w:line="360" w:lineRule="exact"/>
              <w:ind w:firstLine="420" w:firstLineChars="200"/>
              <w:rPr>
                <w:rFonts w:ascii="方正仿宋_GBK" w:hAnsi="方正仿宋_GBK" w:eastAsia="方正仿宋_GBK" w:cs="方正仿宋_GBK"/>
                <w:b/>
                <w:szCs w:val="21"/>
              </w:rPr>
            </w:pPr>
            <w:r>
              <w:rPr>
                <w:rFonts w:hint="eastAsia" w:ascii="方正仿宋_GBK" w:hAnsi="方正仿宋_GBK" w:eastAsia="方正仿宋_GBK" w:cs="方正仿宋_GBK"/>
                <w:szCs w:val="21"/>
              </w:rPr>
              <w:t>2.如供应商未按上述要求提供联系方式，致使采购人或磋商小组在项目评标期间无法与供应商取得联系的，或因自身原因未能保持电话畅通或未按磋商小组要求提交响应文件、最终响应报价等材料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p>
        </w:tc>
        <w:tc>
          <w:tcPr>
            <w:tcW w:w="8586" w:type="dxa"/>
            <w:vAlign w:val="center"/>
          </w:tcPr>
          <w:p>
            <w:pPr>
              <w:spacing w:line="360" w:lineRule="exact"/>
              <w:rPr>
                <w:rFonts w:ascii="方正仿宋_GBK" w:hAnsi="方正仿宋_GBK" w:eastAsia="方正仿宋_GBK" w:cs="方正仿宋_GBK"/>
              </w:rPr>
            </w:pPr>
            <w:r>
              <w:rPr>
                <w:rFonts w:hint="eastAsia" w:ascii="方正仿宋_GBK" w:hAnsi="方正仿宋_GBK" w:eastAsia="方正仿宋_GBK" w:cs="方正仿宋_GBK"/>
                <w:szCs w:val="21"/>
              </w:rPr>
              <w:t>评标办法及评分标准：本项目评标办法为综合评分法，具体评标内容及评分标准等详见《第二章：评标方法及评分标准》。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8586" w:type="dxa"/>
            <w:vAlign w:val="center"/>
          </w:tcPr>
          <w:p>
            <w:pPr>
              <w:spacing w:line="36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采购结果公示：采购结果公示发布于</w:t>
            </w:r>
            <w:r>
              <w:rPr>
                <w:rFonts w:hint="eastAsia" w:ascii="方正仿宋_GBK" w:hAnsi="方正仿宋_GBK" w:eastAsia="方正仿宋_GBK" w:cs="方正仿宋_GBK"/>
                <w:color w:val="auto"/>
                <w:sz w:val="21"/>
                <w:szCs w:val="21"/>
                <w:lang w:val="en-US" w:eastAsia="zh-CN"/>
              </w:rPr>
              <w:t>广西阳光采购服务平台https://gxygcg.ejy365.com、</w:t>
            </w:r>
            <w:r>
              <w:rPr>
                <w:rFonts w:hint="eastAsia" w:ascii="方正仿宋_GBK" w:hAnsi="方正仿宋_GBK" w:eastAsia="方正仿宋_GBK" w:cs="方正仿宋_GBK"/>
                <w:szCs w:val="21"/>
              </w:rPr>
              <w:t>广西北部湾银行官网www.bankofbbg.com。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8586" w:type="dxa"/>
            <w:vAlign w:val="center"/>
          </w:tcPr>
          <w:p>
            <w:pPr>
              <w:autoSpaceDE w:val="0"/>
              <w:autoSpaceDN w:val="0"/>
              <w:snapToGrid w:val="0"/>
              <w:spacing w:line="360" w:lineRule="exact"/>
              <w:textAlignment w:val="bottom"/>
              <w:rPr>
                <w:rFonts w:ascii="方正仿宋_GBK" w:hAnsi="方正仿宋_GBK" w:eastAsia="方正仿宋_GBK" w:cs="方正仿宋_GBK"/>
                <w:szCs w:val="21"/>
              </w:rPr>
            </w:pPr>
            <w:r>
              <w:rPr>
                <w:rFonts w:hint="eastAsia" w:ascii="方正仿宋_GBK" w:hAnsi="方正仿宋_GBK" w:eastAsia="方正仿宋_GBK" w:cs="方正仿宋_GBK"/>
                <w:szCs w:val="21"/>
              </w:rPr>
              <w:t>磋商响应文件有效期：磋商截止之日起60日历天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8586" w:type="dxa"/>
            <w:vAlign w:val="center"/>
          </w:tcPr>
          <w:p>
            <w:pPr>
              <w:snapToGrid w:val="0"/>
              <w:spacing w:line="360" w:lineRule="exact"/>
              <w:rPr>
                <w:rFonts w:ascii="方正仿宋_GBK" w:hAnsi="方正仿宋_GBK" w:eastAsia="方正仿宋_GBK" w:cs="方正仿宋_GBK"/>
                <w:b/>
                <w:szCs w:val="21"/>
              </w:rPr>
            </w:pPr>
            <w:r>
              <w:rPr>
                <w:rFonts w:hint="eastAsia" w:ascii="方正仿宋_GBK" w:hAnsi="方正仿宋_GBK" w:eastAsia="方正仿宋_GBK" w:cs="方正仿宋_GBK"/>
                <w:b/>
                <w:szCs w:val="21"/>
              </w:rPr>
              <w:t>磋商报价：</w:t>
            </w:r>
          </w:p>
          <w:p>
            <w:pPr>
              <w:snapToGrid w:val="0"/>
              <w:spacing w:line="360" w:lineRule="exact"/>
              <w:ind w:firstLine="420" w:firstLineChars="200"/>
              <w:rPr>
                <w:rFonts w:ascii="方正仿宋_GBK" w:hAnsi="方正仿宋_GBK" w:eastAsia="方正仿宋_GBK" w:cs="方正仿宋_GBK"/>
                <w:szCs w:val="21"/>
                <w:highlight w:val="yellow"/>
              </w:rPr>
            </w:pPr>
            <w:r>
              <w:rPr>
                <w:rFonts w:hint="eastAsia" w:ascii="方正仿宋_GBK" w:hAnsi="方正仿宋_GBK" w:eastAsia="方正仿宋_GBK" w:cs="方正仿宋_GBK"/>
                <w:szCs w:val="21"/>
              </w:rPr>
              <w:t>1.本项目投标应以人民币报价，磋商供应商须就《采购需求》中的全部货物(服务)或某个分标的货物（服务）内容作完整唯一报价</w:t>
            </w:r>
            <w:r>
              <w:rPr>
                <w:rFonts w:hint="eastAsia" w:ascii="方正仿宋_GBK" w:hAnsi="方正仿宋_GBK" w:eastAsia="方正仿宋_GBK" w:cs="方正仿宋_GBK"/>
                <w:szCs w:val="21"/>
                <w:highlight w:val="none"/>
              </w:rPr>
              <w:t>；</w:t>
            </w:r>
          </w:p>
          <w:p>
            <w:pPr>
              <w:snapToGrid w:val="0"/>
              <w:spacing w:line="360" w:lineRule="exact"/>
              <w:ind w:firstLine="420" w:firstLineChars="200"/>
              <w:rPr>
                <w:rFonts w:ascii="方正仿宋_GBK" w:hAnsi="方正仿宋_GBK" w:eastAsia="方正仿宋_GBK" w:cs="方正仿宋_GBK"/>
                <w:b/>
                <w:szCs w:val="21"/>
              </w:rPr>
            </w:pPr>
            <w:r>
              <w:rPr>
                <w:rFonts w:hint="eastAsia" w:ascii="方正仿宋_GBK" w:hAnsi="方正仿宋_GBK" w:eastAsia="方正仿宋_GBK" w:cs="方正仿宋_GBK"/>
                <w:szCs w:val="21"/>
              </w:rPr>
              <w:t>2.不论磋商结果如何，磋商供应商均应自行承担所有与磋商有关的全部费用。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vAlign w:val="center"/>
          </w:tcPr>
          <w:p>
            <w:pPr>
              <w:spacing w:line="36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8586" w:type="dxa"/>
            <w:vAlign w:val="center"/>
          </w:tcPr>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本竞争性磋商响应文件中描述供应商的“公章”是指根据我国对公章的管理规定，用供应商法定主体行为名称制作的印章，除本竞争性磋商响应文件有特殊规定外，供应商的财务章、部门章、分公司章、工会章、合同章、投标专用章、业务专用章等其它形式印章均不能代替公章。</w:t>
            </w:r>
          </w:p>
          <w:p>
            <w:pPr>
              <w:spacing w:line="360" w:lineRule="exact"/>
              <w:ind w:firstLine="420" w:firstLineChars="200"/>
              <w:rPr>
                <w:rFonts w:ascii="方正仿宋_GBK" w:hAnsi="方正仿宋_GBK" w:eastAsia="方正仿宋_GBK" w:cs="方正仿宋_GBK"/>
                <w:b/>
                <w:szCs w:val="21"/>
              </w:rPr>
            </w:pPr>
            <w:r>
              <w:rPr>
                <w:rFonts w:hint="eastAsia" w:ascii="方正仿宋_GBK" w:hAnsi="方正仿宋_GBK" w:eastAsia="方正仿宋_GBK" w:cs="方正仿宋_GBK"/>
                <w:szCs w:val="21"/>
              </w:rPr>
              <w:t>2.本竞争性磋商响应文件中描述供应商的“签字”是指供应商的法定代表人或被授权人亲自在竞争性磋商响应文件规定签署处亲笔写上个人的名字的行为，私章、签字章、印鉴、影印等其它形式均不能代替亲笔签字。</w:t>
            </w:r>
          </w:p>
        </w:tc>
      </w:tr>
    </w:tbl>
    <w:p>
      <w:pPr>
        <w:spacing w:line="400" w:lineRule="exact"/>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br w:type="page"/>
      </w:r>
      <w:r>
        <w:rPr>
          <w:rFonts w:hint="eastAsia" w:ascii="方正仿宋_GBK" w:hAnsi="方正仿宋_GBK" w:eastAsia="方正仿宋_GBK" w:cs="方正仿宋_GBK"/>
          <w:b/>
          <w:sz w:val="32"/>
          <w:szCs w:val="32"/>
        </w:rPr>
        <w:t>磋商须知</w:t>
      </w:r>
    </w:p>
    <w:p>
      <w:pPr>
        <w:spacing w:line="36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一、总　则</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 适用范围</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1.1 本文件仅适用于本文件中所叙述的</w:t>
      </w:r>
      <w:r>
        <w:rPr>
          <w:rFonts w:hint="eastAsia" w:ascii="方正仿宋_GBK" w:hAnsi="方正仿宋_GBK" w:eastAsia="方正仿宋_GBK" w:cs="方正仿宋_GBK"/>
          <w:szCs w:val="21"/>
          <w:highlight w:val="none"/>
        </w:rPr>
        <w:t>服务、货物类</w:t>
      </w:r>
      <w:r>
        <w:rPr>
          <w:rFonts w:hint="eastAsia" w:ascii="方正仿宋_GBK" w:hAnsi="方正仿宋_GBK" w:eastAsia="方正仿宋_GBK" w:cs="方正仿宋_GBK"/>
          <w:szCs w:val="21"/>
        </w:rPr>
        <w:t>采购项目。</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 定义</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2.1“采购人”是指：广西北部湾银行股份有限公司。</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2.2“磋商供应商”是指购买了磋商采购文件，响应本文件要求，参加磋商的法人或者其他组织，即“磋商供应商”。如果该供应商在本次磋商中成交，即成为“成交供应商”。</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2.3“货物”是指各种形态和种类的物品，包括原材料、燃料、设备、产品等。</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2.4“服务”是指除货物和工程以外的其他采购对象。</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2.5“竞争性磋商响应文件”简称“磋商响应文件”是指：供应商根据本文件要求，编制包含报价、技术和服务等所有内容的文件，即“磋商响应文件”。</w:t>
      </w:r>
    </w:p>
    <w:p>
      <w:pPr>
        <w:spacing w:line="360" w:lineRule="exact"/>
        <w:ind w:firstLine="420" w:firstLineChars="200"/>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3. 磋商供应商的基本条件：“详见竞争性磋商公告</w:t>
      </w:r>
      <w:r>
        <w:rPr>
          <w:rFonts w:hint="eastAsia" w:eastAsia="方正仿宋_GBK"/>
          <w:szCs w:val="21"/>
        </w:rPr>
        <w:t>及须知前附表</w:t>
      </w:r>
      <w:r>
        <w:rPr>
          <w:rFonts w:hint="eastAsia" w:ascii="方正仿宋_GBK" w:hAnsi="方正仿宋_GBK" w:eastAsia="方正仿宋_GBK" w:cs="方正仿宋_GBK"/>
          <w:szCs w:val="21"/>
        </w:rPr>
        <w:t>”</w:t>
      </w:r>
      <w:r>
        <w:rPr>
          <w:rFonts w:hint="eastAsia" w:ascii="方正仿宋_GBK" w:hAnsi="方正仿宋_GBK" w:eastAsia="方正仿宋_GBK" w:cs="方正仿宋_GBK"/>
          <w:szCs w:val="21"/>
          <w:lang w:eastAsia="zh-CN"/>
        </w:rPr>
        <w:t>。</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4. 磋商费用及其他说明</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4.1 磋商供应商应自行承担所有与编写和提交竞争性磋商响应文件有关的费用，不论磋商结果如何，采购人在任何情况下无义务和责任承担此类费用。</w:t>
      </w:r>
    </w:p>
    <w:p>
      <w:pPr>
        <w:spacing w:line="400" w:lineRule="exact"/>
        <w:ind w:firstLine="420" w:firstLineChars="200"/>
        <w:rPr>
          <w:rFonts w:ascii="方正仿宋_GBK" w:hAnsi="方正仿宋_GBK" w:eastAsia="方正仿宋_GBK" w:cs="方正仿宋_GBK"/>
          <w:bCs/>
        </w:rPr>
      </w:pPr>
      <w:r>
        <w:rPr>
          <w:rFonts w:hint="eastAsia" w:ascii="方正仿宋_GBK" w:hAnsi="方正仿宋_GBK" w:eastAsia="方正仿宋_GBK" w:cs="方正仿宋_GBK"/>
        </w:rPr>
        <w:t xml:space="preserve">4.2 </w:t>
      </w:r>
      <w:r>
        <w:rPr>
          <w:rFonts w:hint="eastAsia" w:ascii="方正仿宋_GBK" w:hAnsi="方正仿宋_GBK" w:eastAsia="方正仿宋_GBK" w:cs="方正仿宋_GBK"/>
          <w:bCs/>
        </w:rPr>
        <w:t>特别说明</w:t>
      </w:r>
    </w:p>
    <w:p>
      <w:pPr>
        <w:spacing w:line="400" w:lineRule="exact"/>
        <w:ind w:firstLine="420" w:firstLineChars="200"/>
        <w:rPr>
          <w:rFonts w:ascii="方正仿宋_GBK" w:hAnsi="方正仿宋_GBK" w:eastAsia="方正仿宋_GBK" w:cs="方正仿宋_GBK"/>
          <w:szCs w:val="21"/>
        </w:rPr>
      </w:pPr>
      <w:bookmarkStart w:id="2" w:name="_8.1提供相同品牌产品且通过资格审查、符合性审查的不同投标人参加同一合"/>
      <w:bookmarkEnd w:id="2"/>
      <w:r>
        <w:rPr>
          <w:rFonts w:hint="eastAsia" w:ascii="方正仿宋_GBK" w:hAnsi="方正仿宋_GBK" w:eastAsia="方正仿宋_GBK" w:cs="方正仿宋_GBK"/>
          <w:szCs w:val="21"/>
        </w:rPr>
        <w:t>4.2.1</w:t>
      </w:r>
      <w:bookmarkStart w:id="3" w:name="_Hlk65832145"/>
      <w:r>
        <w:rPr>
          <w:rFonts w:hint="eastAsia" w:ascii="方正仿宋_GBK" w:hAnsi="方正仿宋_GBK" w:eastAsia="方正仿宋_GBK" w:cs="方正仿宋_GBK"/>
          <w:szCs w:val="21"/>
        </w:rPr>
        <w:t>如果本磋商文件要求提供供应商或制造商的资格、信誉、荣誉、业绩与企业认证等材料的，资格、信誉、荣誉、业绩与企业认证等必须为供应商或者制造商所拥有或自身获得 。</w:t>
      </w:r>
    </w:p>
    <w:bookmarkEnd w:id="3"/>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4.2.2供应商应仔细阅读磋商文件的所有内容，按照磋商文件的要求提交响应文件，并对所提供的全部资料的真实性承担法律责任。</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4.2.3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二、竞争性磋商文件的构成及响应文件的编制</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 竞争性磋商文件的构成</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5.1 磋商文件的构成</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第一章 磋商供应商须知前附表；</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评标办法；</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第三章 采购需求； </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磋商响应文件基本格式；</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5.2 竞争性磋商响应文件编制基本要求</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5.2.1磋商供应商对竞争性磋商响应文件的编制应按要求装订和封装。</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5.2.2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5.2.3磋商供应商应认真阅读、并充分理解本文件的全部内容（包括所有的补充、修改内容），承诺并履行本文件中各项条款规定及要求。</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5.2.4竞争性磋商响应文件必须按本文件的全部内容，包括所有的补充通知及附件进行编制。</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5.2.5如因磋商供应商只填写和提供了本文件要求的部分内容和附件，而给评审造成困难，其可能导致的结果和责任由磋商供应商自行承担。</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5.2.6竞争性磋商响应文件由价格、商务、技术文件组成</w:t>
      </w:r>
      <w:r>
        <w:rPr>
          <w:rFonts w:hint="eastAsia" w:ascii="方正仿宋_GBK" w:hAnsi="方正仿宋_GBK" w:eastAsia="方正仿宋_GBK" w:cs="方正仿宋_GBK"/>
          <w:b/>
          <w:bCs/>
          <w:szCs w:val="21"/>
        </w:rPr>
        <w:t>(所有文件装订成一册即可)</w:t>
      </w:r>
      <w:r>
        <w:rPr>
          <w:rFonts w:hint="eastAsia" w:ascii="方正仿宋_GBK" w:hAnsi="方正仿宋_GBK" w:eastAsia="方正仿宋_GBK" w:cs="方正仿宋_GBK"/>
          <w:szCs w:val="21"/>
        </w:rPr>
        <w:t>。</w:t>
      </w:r>
    </w:p>
    <w:p>
      <w:pPr>
        <w:spacing w:line="360" w:lineRule="exact"/>
        <w:ind w:firstLine="420" w:firstLineChars="200"/>
        <w:rPr>
          <w:rFonts w:ascii="方正仿宋_GBK" w:hAnsi="方正仿宋_GBK" w:eastAsia="方正仿宋_GBK" w:cs="方正仿宋_GBK"/>
          <w:b/>
          <w:szCs w:val="21"/>
        </w:rPr>
      </w:pPr>
      <w:r>
        <w:rPr>
          <w:rFonts w:hint="eastAsia" w:ascii="方正仿宋_GBK" w:hAnsi="方正仿宋_GBK" w:eastAsia="方正仿宋_GBK" w:cs="方正仿宋_GBK"/>
          <w:szCs w:val="21"/>
        </w:rPr>
        <w:t>5.2.6.1价格、商务、技术文件</w:t>
      </w:r>
      <w:r>
        <w:rPr>
          <w:rFonts w:hint="eastAsia" w:ascii="方正仿宋_GBK" w:hAnsi="方正仿宋_GBK" w:eastAsia="方正仿宋_GBK" w:cs="方正仿宋_GBK"/>
          <w:b/>
          <w:szCs w:val="21"/>
        </w:rPr>
        <w:t>（详见第四章响应文件基本格式）</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1）磋商书；</w:t>
      </w:r>
      <w:r>
        <w:rPr>
          <w:rFonts w:hint="eastAsia" w:ascii="方正仿宋_GBK" w:hAnsi="方正仿宋_GBK" w:eastAsia="方正仿宋_GBK" w:cs="方正仿宋_GBK"/>
          <w:b/>
          <w:szCs w:val="21"/>
        </w:rPr>
        <w:t>（必须提供，否则竞标无效）</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2）磋商报价表；</w:t>
      </w:r>
      <w:r>
        <w:rPr>
          <w:rFonts w:hint="eastAsia" w:ascii="方正仿宋_GBK" w:hAnsi="方正仿宋_GBK" w:eastAsia="方正仿宋_GBK" w:cs="方正仿宋_GBK"/>
          <w:b/>
          <w:szCs w:val="21"/>
        </w:rPr>
        <w:t>（必须提供，否则竞标无效）</w:t>
      </w:r>
    </w:p>
    <w:p>
      <w:pPr>
        <w:spacing w:line="360" w:lineRule="exact"/>
        <w:ind w:firstLine="420" w:firstLineChars="200"/>
        <w:rPr>
          <w:rFonts w:hint="eastAsia" w:ascii="仿宋" w:hAnsi="仿宋" w:eastAsia="仿宋" w:cs="宋体"/>
          <w:color w:val="auto"/>
          <w:highlight w:val="none"/>
          <w:lang w:eastAsia="zh-CN"/>
        </w:rPr>
      </w:pPr>
      <w:r>
        <w:rPr>
          <w:rFonts w:hint="eastAsia" w:ascii="方正仿宋_GBK" w:hAnsi="方正仿宋_GBK" w:eastAsia="方正仿宋_GBK" w:cs="方正仿宋_GBK"/>
          <w:szCs w:val="21"/>
        </w:rPr>
        <w:t>3）磋商供应商有效的加载统一社会信用代码的营业执照或事业单位法人证书等主体资格正（副）本</w:t>
      </w:r>
      <w:r>
        <w:rPr>
          <w:rFonts w:hint="eastAsia" w:ascii="方正仿宋_GBK" w:hAnsi="方正仿宋_GBK" w:eastAsia="方正仿宋_GBK" w:cs="方正仿宋_GBK"/>
          <w:sz w:val="22"/>
          <w:szCs w:val="21"/>
        </w:rPr>
        <w:t>复印件</w:t>
      </w:r>
      <w:r>
        <w:rPr>
          <w:rFonts w:hint="eastAsia" w:ascii="方正仿宋_GBK" w:hAnsi="方正仿宋_GBK" w:eastAsia="方正仿宋_GBK" w:cs="方正仿宋_GBK"/>
          <w:sz w:val="22"/>
          <w:szCs w:val="21"/>
          <w:lang w:eastAsia="zh-CN"/>
        </w:rPr>
        <w:t>，</w:t>
      </w:r>
      <w:r>
        <w:rPr>
          <w:rFonts w:hint="eastAsia" w:ascii="仿宋" w:hAnsi="仿宋" w:eastAsia="仿宋" w:cs="宋体"/>
          <w:color w:val="auto"/>
          <w:highlight w:val="none"/>
          <w:lang w:eastAsia="zh-CN"/>
        </w:rPr>
        <w:t>分公司或分支机构参与竞标时，须同时提供具有法人资格的总公司的营业执照复印件及授权书，并加盖总公司的公章；</w:t>
      </w:r>
      <w:r>
        <w:rPr>
          <w:rFonts w:hint="eastAsia" w:ascii="方正仿宋_GBK" w:hAnsi="方正仿宋_GBK" w:eastAsia="方正仿宋_GBK" w:cs="方正仿宋_GBK"/>
          <w:b/>
          <w:szCs w:val="21"/>
        </w:rPr>
        <w:t>（必须提供，否则竞标无效）</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hint="eastAsia" w:ascii="方正仿宋_GBK" w:hAnsi="方正仿宋_GBK" w:eastAsia="方正仿宋_GBK" w:cs="方正仿宋_GBK"/>
        </w:rPr>
        <w:t>法定代表人身份证明及法定代表人有效身份证正反面复印件</w:t>
      </w:r>
      <w:r>
        <w:rPr>
          <w:rFonts w:hint="eastAsia" w:ascii="方正仿宋_GBK" w:hAnsi="方正仿宋_GBK" w:eastAsia="方正仿宋_GBK" w:cs="方正仿宋_GBK"/>
          <w:szCs w:val="21"/>
        </w:rPr>
        <w:t>；</w:t>
      </w:r>
      <w:r>
        <w:rPr>
          <w:rFonts w:hint="eastAsia" w:ascii="方正仿宋_GBK" w:hAnsi="方正仿宋_GBK" w:eastAsia="方正仿宋_GBK" w:cs="方正仿宋_GBK"/>
          <w:b/>
          <w:szCs w:val="21"/>
        </w:rPr>
        <w:t>（必须提供，否则竞标无效）</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5）法定代表人授权书原件和委托代理人身份证复印件；</w:t>
      </w:r>
      <w:r>
        <w:rPr>
          <w:rFonts w:hint="eastAsia" w:ascii="方正仿宋_GBK" w:hAnsi="方正仿宋_GBK" w:eastAsia="方正仿宋_GBK" w:cs="方正仿宋_GBK"/>
          <w:b/>
          <w:szCs w:val="21"/>
        </w:rPr>
        <w:t>（委托代理时必须提供，否则竞标无效）</w:t>
      </w:r>
    </w:p>
    <w:p>
      <w:pPr>
        <w:spacing w:line="360" w:lineRule="exact"/>
        <w:ind w:firstLine="420" w:firstLineChars="200"/>
        <w:rPr>
          <w:rFonts w:hint="eastAsia" w:eastAsia="方正仿宋_GBK"/>
          <w:color w:val="FF0000"/>
          <w:szCs w:val="21"/>
          <w:highlight w:val="none"/>
          <w:lang w:eastAsia="zh-CN"/>
        </w:rPr>
      </w:pPr>
      <w:r>
        <w:rPr>
          <w:rFonts w:hint="eastAsia" w:ascii="方正仿宋_GBK" w:hAnsi="方正仿宋_GBK" w:eastAsia="方正仿宋_GBK" w:cs="方正仿宋_GBK"/>
          <w:szCs w:val="21"/>
          <w:lang w:val="en-US" w:eastAsia="zh-CN"/>
        </w:rPr>
        <w:t>6</w:t>
      </w:r>
      <w:r>
        <w:rPr>
          <w:rFonts w:hint="eastAsia" w:ascii="方正仿宋_GBK" w:hAnsi="方正仿宋_GBK" w:eastAsia="方正仿宋_GBK" w:cs="方正仿宋_GBK"/>
          <w:szCs w:val="21"/>
        </w:rPr>
        <w:t>）</w:t>
      </w:r>
      <w:r>
        <w:rPr>
          <w:rFonts w:hint="eastAsia" w:eastAsia="方正仿宋_GBK"/>
          <w:color w:val="auto"/>
          <w:szCs w:val="21"/>
          <w:highlight w:val="none"/>
          <w:lang w:eastAsia="zh-CN"/>
        </w:rPr>
        <w:t>提供“中国注册会计师协会”官网公布的近三年（20</w:t>
      </w:r>
      <w:r>
        <w:rPr>
          <w:rFonts w:hint="eastAsia" w:eastAsia="方正仿宋_GBK"/>
          <w:color w:val="auto"/>
          <w:szCs w:val="21"/>
          <w:highlight w:val="none"/>
          <w:lang w:val="en-US" w:eastAsia="zh-CN"/>
        </w:rPr>
        <w:t>20</w:t>
      </w:r>
      <w:r>
        <w:rPr>
          <w:rFonts w:hint="eastAsia" w:eastAsia="方正仿宋_GBK"/>
          <w:color w:val="auto"/>
          <w:szCs w:val="21"/>
          <w:highlight w:val="none"/>
          <w:lang w:eastAsia="zh-CN"/>
        </w:rPr>
        <w:t>-202</w:t>
      </w:r>
      <w:r>
        <w:rPr>
          <w:rFonts w:hint="eastAsia" w:eastAsia="方正仿宋_GBK"/>
          <w:color w:val="auto"/>
          <w:szCs w:val="21"/>
          <w:highlight w:val="none"/>
          <w:lang w:val="en-US" w:eastAsia="zh-CN"/>
        </w:rPr>
        <w:t>2</w:t>
      </w:r>
      <w:r>
        <w:rPr>
          <w:rFonts w:hint="eastAsia" w:eastAsia="方正仿宋_GBK"/>
          <w:color w:val="auto"/>
          <w:szCs w:val="21"/>
          <w:highlight w:val="none"/>
          <w:lang w:eastAsia="zh-CN"/>
        </w:rPr>
        <w:t>年）年度会计师事务所综合评价百家排名信息及其对应的最新会计师事务所披露信息截图；</w:t>
      </w:r>
      <w:r>
        <w:rPr>
          <w:rFonts w:hint="eastAsia" w:ascii="方正仿宋_GBK" w:hAnsi="方正仿宋_GBK" w:eastAsia="方正仿宋_GBK" w:cs="方正仿宋_GBK"/>
          <w:b/>
          <w:szCs w:val="21"/>
        </w:rPr>
        <w:t>（必须提供，否则竞标无效）</w:t>
      </w:r>
    </w:p>
    <w:p>
      <w:pPr>
        <w:spacing w:line="400" w:lineRule="exact"/>
        <w:ind w:firstLine="420" w:firstLineChars="200"/>
        <w:rPr>
          <w:rFonts w:hint="eastAsia" w:eastAsia="方正仿宋_GBK"/>
          <w:color w:val="auto"/>
          <w:szCs w:val="21"/>
          <w:highlight w:val="none"/>
          <w:lang w:eastAsia="zh-CN"/>
        </w:rPr>
      </w:pPr>
      <w:r>
        <w:rPr>
          <w:rFonts w:hint="eastAsia" w:ascii="方正仿宋_GBK" w:hAnsi="方正仿宋_GBK" w:eastAsia="方正仿宋_GBK" w:cs="方正仿宋_GBK"/>
          <w:szCs w:val="21"/>
          <w:lang w:val="en-US" w:eastAsia="zh-CN"/>
        </w:rPr>
        <w:t>7</w:t>
      </w:r>
      <w:r>
        <w:rPr>
          <w:rFonts w:hint="eastAsia" w:ascii="方正仿宋_GBK" w:hAnsi="方正仿宋_GBK" w:eastAsia="方正仿宋_GBK" w:cs="方正仿宋_GBK"/>
          <w:szCs w:val="21"/>
        </w:rPr>
        <w:t>）</w:t>
      </w:r>
      <w:r>
        <w:rPr>
          <w:rFonts w:hint="eastAsia" w:eastAsia="方正仿宋_GBK"/>
          <w:color w:val="auto"/>
          <w:szCs w:val="21"/>
          <w:highlight w:val="none"/>
          <w:lang w:eastAsia="zh-CN"/>
        </w:rPr>
        <w:t>提供工作场所房产证或有效期内租赁合同；</w:t>
      </w:r>
      <w:r>
        <w:rPr>
          <w:rFonts w:hint="eastAsia" w:eastAsia="方正仿宋_GBK"/>
          <w:b/>
          <w:bCs/>
          <w:color w:val="auto"/>
          <w:szCs w:val="21"/>
          <w:lang w:eastAsia="zh-CN"/>
        </w:rPr>
        <w:t>（</w:t>
      </w:r>
      <w:r>
        <w:rPr>
          <w:rFonts w:hint="eastAsia" w:eastAsia="方正仿宋_GBK"/>
          <w:b/>
          <w:bCs/>
          <w:color w:val="auto"/>
          <w:szCs w:val="21"/>
          <w:highlight w:val="none"/>
        </w:rPr>
        <w:t>必须提</w:t>
      </w:r>
      <w:r>
        <w:rPr>
          <w:rFonts w:hint="eastAsia" w:eastAsia="方正仿宋_GBK"/>
          <w:b/>
          <w:bCs/>
          <w:color w:val="auto"/>
          <w:szCs w:val="21"/>
        </w:rPr>
        <w:t>供，否则竞标无效</w:t>
      </w:r>
      <w:r>
        <w:rPr>
          <w:rFonts w:hint="eastAsia" w:eastAsia="方正仿宋_GBK"/>
          <w:b/>
          <w:bCs/>
          <w:color w:val="auto"/>
          <w:szCs w:val="21"/>
          <w:lang w:eastAsia="zh-CN"/>
        </w:rPr>
        <w:t>）</w:t>
      </w:r>
    </w:p>
    <w:p>
      <w:pPr>
        <w:spacing w:line="400" w:lineRule="exact"/>
        <w:ind w:firstLine="420" w:firstLineChars="200"/>
        <w:rPr>
          <w:rFonts w:hint="eastAsia" w:eastAsia="方正仿宋_GBK"/>
          <w:b w:val="0"/>
          <w:bCs w:val="0"/>
          <w:color w:val="auto"/>
          <w:szCs w:val="21"/>
          <w:highlight w:val="yellow"/>
          <w:lang w:eastAsia="zh-CN"/>
        </w:rPr>
      </w:pPr>
      <w:r>
        <w:rPr>
          <w:rFonts w:hint="eastAsia" w:ascii="方正仿宋_GBK" w:hAnsi="方正仿宋_GBK" w:eastAsia="方正仿宋_GBK" w:cs="方正仿宋_GBK"/>
          <w:szCs w:val="21"/>
          <w:lang w:val="en-US" w:eastAsia="zh-CN"/>
        </w:rPr>
        <w:t>8</w:t>
      </w:r>
      <w:r>
        <w:rPr>
          <w:rFonts w:hint="eastAsia" w:ascii="方正仿宋_GBK" w:hAnsi="方正仿宋_GBK" w:eastAsia="方正仿宋_GBK" w:cs="方正仿宋_GBK"/>
          <w:szCs w:val="21"/>
        </w:rPr>
        <w:t>）</w:t>
      </w:r>
      <w:r>
        <w:rPr>
          <w:rFonts w:hint="eastAsia" w:eastAsia="方正仿宋_GBK"/>
          <w:color w:val="auto"/>
          <w:szCs w:val="21"/>
          <w:highlight w:val="none"/>
          <w:lang w:eastAsia="zh-CN"/>
        </w:rPr>
        <w:t>提供事务所内部章程</w:t>
      </w:r>
      <w:r>
        <w:rPr>
          <w:rFonts w:hint="eastAsia" w:eastAsia="方正仿宋_GBK"/>
          <w:color w:val="auto"/>
          <w:szCs w:val="21"/>
          <w:highlight w:val="none"/>
          <w:lang w:val="en-US" w:eastAsia="zh-CN"/>
        </w:rPr>
        <w:t>及</w:t>
      </w:r>
      <w:r>
        <w:rPr>
          <w:rFonts w:hint="eastAsia" w:eastAsia="方正仿宋_GBK"/>
          <w:color w:val="auto"/>
          <w:szCs w:val="21"/>
          <w:highlight w:val="none"/>
          <w:lang w:eastAsia="zh-CN"/>
        </w:rPr>
        <w:t>自</w:t>
      </w:r>
      <w:r>
        <w:rPr>
          <w:rFonts w:hint="eastAsia" w:eastAsia="方正仿宋_GBK"/>
          <w:color w:val="auto"/>
          <w:szCs w:val="21"/>
          <w:highlight w:val="none"/>
          <w:lang w:val="en-US" w:eastAsia="zh-CN"/>
        </w:rPr>
        <w:t>2021年起至2023年</w:t>
      </w:r>
      <w:r>
        <w:rPr>
          <w:rFonts w:hint="eastAsia" w:eastAsia="方正仿宋_GBK"/>
          <w:color w:val="auto"/>
          <w:szCs w:val="21"/>
          <w:highlight w:val="none"/>
        </w:rPr>
        <w:t>有连续从事金融企业审计相关经验</w:t>
      </w:r>
      <w:r>
        <w:rPr>
          <w:rFonts w:hint="eastAsia" w:eastAsia="方正仿宋_GBK"/>
          <w:color w:val="auto"/>
          <w:szCs w:val="21"/>
          <w:highlight w:val="none"/>
          <w:lang w:eastAsia="zh-CN"/>
        </w:rPr>
        <w:t>服务合同</w:t>
      </w:r>
      <w:r>
        <w:rPr>
          <w:rFonts w:hint="eastAsia" w:eastAsia="方正仿宋_GBK"/>
          <w:b w:val="0"/>
          <w:bCs w:val="0"/>
          <w:color w:val="auto"/>
          <w:szCs w:val="21"/>
          <w:highlight w:val="none"/>
        </w:rPr>
        <w:t>（</w:t>
      </w:r>
      <w:r>
        <w:rPr>
          <w:rFonts w:hint="eastAsia" w:eastAsia="方正仿宋_GBK"/>
          <w:b w:val="0"/>
          <w:bCs w:val="0"/>
          <w:color w:val="auto"/>
          <w:szCs w:val="21"/>
          <w:highlight w:val="none"/>
          <w:lang w:eastAsia="zh-CN"/>
        </w:rPr>
        <w:t>至少提供每年一项服务业务合同，提供主要信息页、盖章页等</w:t>
      </w:r>
      <w:r>
        <w:rPr>
          <w:rFonts w:hint="eastAsia" w:eastAsia="方正仿宋_GBK"/>
          <w:b w:val="0"/>
          <w:bCs w:val="0"/>
          <w:color w:val="auto"/>
          <w:szCs w:val="21"/>
          <w:highlight w:val="none"/>
        </w:rPr>
        <w:t>）</w:t>
      </w:r>
      <w:r>
        <w:rPr>
          <w:rFonts w:hint="eastAsia" w:eastAsia="方正仿宋_GBK"/>
          <w:b w:val="0"/>
          <w:bCs w:val="0"/>
          <w:color w:val="auto"/>
          <w:szCs w:val="21"/>
          <w:highlight w:val="none"/>
          <w:lang w:eastAsia="zh-CN"/>
        </w:rPr>
        <w:t>；</w:t>
      </w:r>
      <w:r>
        <w:rPr>
          <w:rFonts w:hint="eastAsia" w:eastAsia="方正仿宋_GBK"/>
          <w:b/>
          <w:bCs/>
          <w:color w:val="auto"/>
          <w:szCs w:val="21"/>
          <w:highlight w:val="none"/>
          <w:lang w:eastAsia="zh-CN"/>
        </w:rPr>
        <w:t>（</w:t>
      </w:r>
      <w:r>
        <w:rPr>
          <w:rFonts w:hint="eastAsia" w:eastAsia="方正仿宋_GBK"/>
          <w:b/>
          <w:bCs/>
          <w:color w:val="auto"/>
          <w:szCs w:val="21"/>
          <w:highlight w:val="none"/>
        </w:rPr>
        <w:t>必须提供，否则竞标无效</w:t>
      </w:r>
      <w:r>
        <w:rPr>
          <w:rFonts w:hint="eastAsia" w:eastAsia="方正仿宋_GBK"/>
          <w:b/>
          <w:bCs/>
          <w:color w:val="auto"/>
          <w:szCs w:val="21"/>
          <w:highlight w:val="none"/>
          <w:lang w:eastAsia="zh-CN"/>
        </w:rPr>
        <w:t>）</w:t>
      </w:r>
    </w:p>
    <w:p>
      <w:pPr>
        <w:spacing w:line="400" w:lineRule="exact"/>
        <w:ind w:firstLine="420" w:firstLineChars="200"/>
        <w:rPr>
          <w:rFonts w:hint="eastAsia" w:eastAsia="方正仿宋_GBK"/>
          <w:color w:val="auto"/>
          <w:szCs w:val="21"/>
        </w:rPr>
      </w:pPr>
      <w:r>
        <w:rPr>
          <w:rFonts w:hint="eastAsia" w:ascii="方正仿宋_GBK" w:hAnsi="方正仿宋_GBK" w:eastAsia="方正仿宋_GBK" w:cs="方正仿宋_GBK"/>
          <w:szCs w:val="21"/>
          <w:lang w:val="en-US" w:eastAsia="zh-CN"/>
        </w:rPr>
        <w:t>9</w:t>
      </w:r>
      <w:r>
        <w:rPr>
          <w:rFonts w:hint="eastAsia" w:ascii="方正仿宋_GBK" w:hAnsi="方正仿宋_GBK" w:eastAsia="方正仿宋_GBK" w:cs="方正仿宋_GBK"/>
          <w:szCs w:val="21"/>
        </w:rPr>
        <w:t>）</w:t>
      </w:r>
      <w:r>
        <w:rPr>
          <w:rFonts w:hint="eastAsia" w:eastAsia="方正仿宋_GBK"/>
          <w:b w:val="0"/>
          <w:bCs w:val="0"/>
          <w:color w:val="auto"/>
          <w:szCs w:val="21"/>
          <w:lang w:eastAsia="zh-CN"/>
        </w:rPr>
        <w:t>提供公司人员相关资格证书（如</w:t>
      </w:r>
      <w:r>
        <w:rPr>
          <w:rFonts w:hint="eastAsia" w:ascii="方正仿宋_GBK" w:hAnsi="方正仿宋_GBK" w:eastAsia="方正仿宋_GBK" w:cs="方正仿宋_GBK"/>
          <w:b w:val="0"/>
          <w:bCs w:val="0"/>
          <w:color w:val="auto"/>
          <w:szCs w:val="21"/>
        </w:rPr>
        <w:t>CPA、CIA</w:t>
      </w:r>
      <w:r>
        <w:rPr>
          <w:rFonts w:hint="eastAsia" w:ascii="方正仿宋_GBK" w:hAnsi="方正仿宋_GBK" w:eastAsia="方正仿宋_GBK" w:cs="方正仿宋_GBK"/>
          <w:b w:val="0"/>
          <w:bCs w:val="0"/>
          <w:color w:val="auto"/>
          <w:szCs w:val="21"/>
          <w:lang w:eastAsia="zh-CN"/>
        </w:rPr>
        <w:t>等</w:t>
      </w:r>
      <w:r>
        <w:rPr>
          <w:rFonts w:hint="eastAsia" w:eastAsia="方正仿宋_GBK"/>
          <w:b w:val="0"/>
          <w:bCs w:val="0"/>
          <w:color w:val="auto"/>
          <w:szCs w:val="21"/>
          <w:lang w:eastAsia="zh-CN"/>
        </w:rPr>
        <w:t>）和审计项目工作经验（提供相关证书复印件、工作履历）；</w:t>
      </w:r>
      <w:r>
        <w:rPr>
          <w:rFonts w:hint="eastAsia" w:eastAsia="方正仿宋_GBK"/>
          <w:b/>
          <w:bCs/>
          <w:color w:val="auto"/>
          <w:szCs w:val="21"/>
          <w:lang w:eastAsia="zh-CN"/>
        </w:rPr>
        <w:t>（</w:t>
      </w:r>
      <w:r>
        <w:rPr>
          <w:rFonts w:hint="eastAsia" w:eastAsia="方正仿宋_GBK"/>
          <w:b/>
          <w:bCs/>
          <w:color w:val="auto"/>
          <w:szCs w:val="21"/>
          <w:highlight w:val="none"/>
        </w:rPr>
        <w:t>必须提</w:t>
      </w:r>
      <w:r>
        <w:rPr>
          <w:rFonts w:hint="eastAsia" w:eastAsia="方正仿宋_GBK"/>
          <w:b/>
          <w:bCs/>
          <w:color w:val="auto"/>
          <w:szCs w:val="21"/>
        </w:rPr>
        <w:t>供，否则竞标无效</w:t>
      </w:r>
      <w:r>
        <w:rPr>
          <w:rFonts w:hint="eastAsia" w:eastAsia="方正仿宋_GBK"/>
          <w:b/>
          <w:bCs/>
          <w:color w:val="auto"/>
          <w:szCs w:val="21"/>
          <w:lang w:eastAsia="zh-CN"/>
        </w:rPr>
        <w:t>）</w:t>
      </w:r>
    </w:p>
    <w:p>
      <w:pPr>
        <w:spacing w:line="360" w:lineRule="exact"/>
        <w:ind w:firstLine="420" w:firstLineChars="200"/>
        <w:rPr>
          <w:rFonts w:ascii="方正仿宋_GBK" w:hAnsi="方正仿宋_GBK" w:eastAsia="方正仿宋_GBK" w:cs="方正仿宋_GBK"/>
          <w:b/>
          <w:szCs w:val="21"/>
        </w:rPr>
      </w:pPr>
      <w:r>
        <w:rPr>
          <w:rFonts w:hint="eastAsia" w:ascii="方正仿宋_GBK" w:hAnsi="方正仿宋_GBK" w:eastAsia="方正仿宋_GBK" w:cs="方正仿宋_GBK"/>
          <w:szCs w:val="21"/>
          <w:lang w:val="en-US" w:eastAsia="zh-CN"/>
        </w:rPr>
        <w:t>10</w:t>
      </w:r>
      <w:r>
        <w:rPr>
          <w:rFonts w:hint="eastAsia" w:ascii="方正仿宋_GBK" w:hAnsi="方正仿宋_GBK" w:eastAsia="方正仿宋_GBK" w:cs="方正仿宋_GBK"/>
          <w:szCs w:val="21"/>
        </w:rPr>
        <w:t>）</w:t>
      </w:r>
      <w:r>
        <w:rPr>
          <w:rFonts w:hint="eastAsia" w:ascii="方正仿宋_GBK" w:hAnsi="方正仿宋_GBK" w:eastAsia="方正仿宋_GBK" w:cs="方正仿宋_GBK"/>
          <w:color w:val="auto"/>
          <w:szCs w:val="21"/>
        </w:rPr>
        <w:t>信用声明函</w:t>
      </w:r>
      <w:r>
        <w:rPr>
          <w:rFonts w:hint="eastAsia" w:ascii="方正仿宋_GBK" w:hAnsi="方正仿宋_GBK" w:eastAsia="方正仿宋_GBK" w:cs="方正仿宋_GBK"/>
          <w:szCs w:val="21"/>
        </w:rPr>
        <w:t>及磋商供应商在“</w:t>
      </w:r>
      <w:r>
        <w:rPr>
          <w:rFonts w:hint="eastAsia" w:ascii="方正仿宋_GBK" w:hAnsi="方正仿宋_GBK" w:eastAsia="方正仿宋_GBK" w:cs="方正仿宋_GBK"/>
        </w:rPr>
        <w:t>信用中国”网站（www.creditchina.gov.cn）信用服务截图证明；</w:t>
      </w:r>
      <w:r>
        <w:rPr>
          <w:rFonts w:hint="eastAsia" w:ascii="方正仿宋_GBK" w:hAnsi="方正仿宋_GBK" w:eastAsia="方正仿宋_GBK" w:cs="方正仿宋_GBK"/>
          <w:b/>
        </w:rPr>
        <w:t>（包括：失信被执行人、重大税收违法失信主体、政府采购严重违法失信行为记录名单、</w:t>
      </w:r>
      <w:r>
        <w:rPr>
          <w:rFonts w:hint="eastAsia" w:ascii="方正仿宋_GBK" w:hAnsi="方正仿宋_GBK" w:eastAsia="方正仿宋_GBK" w:cs="方正仿宋_GBK"/>
          <w:b/>
          <w:sz w:val="22"/>
          <w:szCs w:val="21"/>
        </w:rPr>
        <w:t>经营异常名录信息</w:t>
      </w:r>
      <w:r>
        <w:rPr>
          <w:rFonts w:hint="eastAsia" w:ascii="方正仿宋_GBK" w:hAnsi="方正仿宋_GBK" w:eastAsia="方正仿宋_GBK" w:cs="方正仿宋_GBK"/>
          <w:b/>
        </w:rPr>
        <w:t>共四个网页截图，网页截图须显示磋商供应商名称以及查询结果）；（必须提供，否则竞标无效）</w:t>
      </w:r>
    </w:p>
    <w:p>
      <w:pPr>
        <w:spacing w:line="360" w:lineRule="exact"/>
        <w:ind w:firstLine="420" w:firstLineChars="200"/>
        <w:rPr>
          <w:rFonts w:ascii="方正仿宋_GBK" w:hAnsi="方正仿宋_GBK" w:eastAsia="方正仿宋_GBK" w:cs="方正仿宋_GBK"/>
          <w:b/>
          <w:szCs w:val="21"/>
        </w:rPr>
      </w:pPr>
      <w:r>
        <w:rPr>
          <w:rFonts w:hint="eastAsia" w:ascii="方正仿宋_GBK" w:hAnsi="方正仿宋_GBK" w:eastAsia="方正仿宋_GBK" w:cs="方正仿宋_GBK"/>
          <w:szCs w:val="21"/>
          <w:lang w:val="en-US" w:eastAsia="zh-CN"/>
        </w:rPr>
        <w:t>11</w:t>
      </w:r>
      <w:r>
        <w:rPr>
          <w:rFonts w:hint="eastAsia" w:ascii="方正仿宋_GBK" w:hAnsi="方正仿宋_GBK" w:eastAsia="方正仿宋_GBK" w:cs="方正仿宋_GBK"/>
          <w:szCs w:val="21"/>
        </w:rPr>
        <w:t>）竞标截止之日前半年内磋商供应商任意连续三个月的依法缴纳税费或依法免缴税费的证明复印件（格式自拟）；无纳税记录的，应提供由供应商所在地主管税务部门出具的依法纳税或依法免税证明（复印件，格式自拟）；</w:t>
      </w:r>
      <w:r>
        <w:rPr>
          <w:rFonts w:hint="eastAsia" w:ascii="方正仿宋_GBK" w:hAnsi="方正仿宋_GBK" w:eastAsia="方正仿宋_GBK" w:cs="方正仿宋_GBK"/>
          <w:b/>
          <w:szCs w:val="21"/>
        </w:rPr>
        <w:t>（必须提供</w:t>
      </w:r>
      <w:r>
        <w:rPr>
          <w:rFonts w:hint="eastAsia" w:ascii="方正仿宋_GBK" w:hAnsi="方正仿宋_GBK" w:eastAsia="方正仿宋_GBK" w:cs="方正仿宋_GBK"/>
          <w:b/>
        </w:rPr>
        <w:t>，否则竞标无效</w:t>
      </w:r>
      <w:r>
        <w:rPr>
          <w:rFonts w:hint="eastAsia" w:ascii="方正仿宋_GBK" w:hAnsi="方正仿宋_GBK" w:eastAsia="方正仿宋_GBK" w:cs="方正仿宋_GBK"/>
          <w:b/>
          <w:szCs w:val="21"/>
        </w:rPr>
        <w:t>）</w:t>
      </w:r>
    </w:p>
    <w:p>
      <w:pPr>
        <w:spacing w:line="360" w:lineRule="exact"/>
        <w:ind w:firstLine="420" w:firstLineChars="200"/>
        <w:rPr>
          <w:rFonts w:ascii="方正仿宋_GBK" w:hAnsi="方正仿宋_GBK" w:eastAsia="方正仿宋_GBK" w:cs="方正仿宋_GBK"/>
          <w:b/>
        </w:rPr>
      </w:pPr>
      <w:r>
        <w:rPr>
          <w:rFonts w:hint="eastAsia" w:ascii="方正仿宋_GBK" w:hAnsi="方正仿宋_GBK" w:eastAsia="方正仿宋_GBK" w:cs="方正仿宋_GBK"/>
          <w:lang w:val="en-US" w:eastAsia="zh-CN"/>
        </w:rPr>
        <w:t>12</w:t>
      </w:r>
      <w:r>
        <w:rPr>
          <w:rFonts w:hint="eastAsia" w:ascii="方正仿宋_GBK" w:hAnsi="方正仿宋_GBK" w:eastAsia="方正仿宋_GBK" w:cs="方正仿宋_GBK"/>
        </w:rPr>
        <w:t>）竞标截止之日前半年内</w:t>
      </w:r>
      <w:r>
        <w:rPr>
          <w:rFonts w:hint="eastAsia" w:ascii="方正仿宋_GBK" w:hAnsi="方正仿宋_GBK" w:eastAsia="方正仿宋_GBK" w:cs="方正仿宋_GBK"/>
          <w:szCs w:val="21"/>
        </w:rPr>
        <w:t>磋商供应商</w:t>
      </w:r>
      <w:r>
        <w:rPr>
          <w:rFonts w:hint="eastAsia" w:ascii="方正仿宋_GBK" w:hAnsi="方正仿宋_GBK" w:eastAsia="方正仿宋_GBK" w:cs="方正仿宋_GBK"/>
        </w:rPr>
        <w:t>任意连续三个月的依法缴纳社保费的缴费凭证复印件（格式自拟）；无缴费记录的，应提供由供应商所在地社保部门出具的依法缴纳或依法免缴社保费证明（格式自拟，复印件）；</w:t>
      </w:r>
      <w:r>
        <w:rPr>
          <w:rFonts w:hint="eastAsia" w:ascii="方正仿宋_GBK" w:hAnsi="方正仿宋_GBK" w:eastAsia="方正仿宋_GBK" w:cs="方正仿宋_GBK"/>
          <w:b/>
        </w:rPr>
        <w:t>（必须提供，否则竞标无效）</w:t>
      </w:r>
    </w:p>
    <w:p>
      <w:pPr>
        <w:spacing w:line="360" w:lineRule="exact"/>
        <w:ind w:firstLine="420" w:firstLineChars="200"/>
        <w:rPr>
          <w:rFonts w:ascii="方正仿宋_GBK" w:hAnsi="方正仿宋_GBK" w:eastAsia="方正仿宋_GBK" w:cs="方正仿宋_GBK"/>
          <w:b/>
        </w:rPr>
      </w:pPr>
      <w:r>
        <w:rPr>
          <w:rFonts w:hint="eastAsia" w:ascii="方正仿宋_GBK" w:hAnsi="方正仿宋_GBK" w:eastAsia="方正仿宋_GBK" w:cs="方正仿宋_GBK"/>
          <w:szCs w:val="21"/>
          <w:lang w:val="en-US" w:eastAsia="zh-CN"/>
        </w:rPr>
        <w:t>13</w:t>
      </w:r>
      <w:r>
        <w:rPr>
          <w:rFonts w:hint="eastAsia" w:ascii="方正仿宋_GBK" w:hAnsi="方正仿宋_GBK" w:eastAsia="方正仿宋_GBK" w:cs="方正仿宋_GBK"/>
          <w:szCs w:val="21"/>
        </w:rPr>
        <w:t>）磋商供应商近四年内</w:t>
      </w:r>
      <w:r>
        <w:rPr>
          <w:rFonts w:hint="eastAsia" w:ascii="方正仿宋_GBK" w:hAnsi="方正仿宋_GBK" w:eastAsia="方正仿宋_GBK" w:cs="方正仿宋_GBK"/>
          <w:szCs w:val="21"/>
          <w:lang w:val="en-US" w:eastAsia="zh-CN"/>
        </w:rPr>
        <w:t>(2020-2023)</w:t>
      </w:r>
      <w:r>
        <w:rPr>
          <w:rFonts w:hint="eastAsia" w:ascii="方正仿宋_GBK" w:hAnsi="方正仿宋_GBK" w:eastAsia="方正仿宋_GBK" w:cs="方正仿宋_GBK"/>
          <w:szCs w:val="21"/>
        </w:rPr>
        <w:t>连续三年的财务状况报告复印件[</w:t>
      </w:r>
      <w:r>
        <w:rPr>
          <w:rFonts w:hint="eastAsia" w:ascii="方正仿宋_GBK" w:hAnsi="方正仿宋_GBK" w:eastAsia="方正仿宋_GBK" w:cs="方正仿宋_GBK"/>
          <w:szCs w:val="21"/>
          <w:lang w:eastAsia="zh-CN"/>
        </w:rPr>
        <w:t>优先提供</w:t>
      </w:r>
      <w:r>
        <w:rPr>
          <w:rFonts w:hint="eastAsia" w:ascii="方正仿宋_GBK" w:hAnsi="方正仿宋_GBK" w:eastAsia="方正仿宋_GBK" w:cs="方正仿宋_GBK"/>
          <w:szCs w:val="21"/>
          <w:lang w:val="en-US" w:eastAsia="zh-CN"/>
        </w:rPr>
        <w:t>2021-2023年度，</w:t>
      </w:r>
      <w:r>
        <w:rPr>
          <w:rFonts w:hint="eastAsia" w:ascii="方正仿宋_GBK" w:hAnsi="方正仿宋_GBK" w:eastAsia="方正仿宋_GBK" w:cs="方正仿宋_GBK"/>
          <w:szCs w:val="21"/>
        </w:rPr>
        <w:t>可以是经会计师事务所审计的财务报告，或是本公司出具的财务报表(</w:t>
      </w:r>
      <w:r>
        <w:rPr>
          <w:rFonts w:hint="eastAsia" w:ascii="方正仿宋_GBK" w:hAnsi="方正仿宋_GBK" w:eastAsia="方正仿宋_GBK" w:cs="方正仿宋_GBK"/>
          <w:b/>
          <w:szCs w:val="21"/>
        </w:rPr>
        <w:t>至少包含资产负债表、利润表、现金流量表</w:t>
      </w:r>
      <w:r>
        <w:rPr>
          <w:rFonts w:hint="eastAsia" w:ascii="方正仿宋_GBK" w:hAnsi="方正仿宋_GBK" w:eastAsia="方正仿宋_GBK" w:cs="方正仿宋_GBK"/>
          <w:szCs w:val="21"/>
        </w:rPr>
        <w:t>)；</w:t>
      </w:r>
      <w:r>
        <w:rPr>
          <w:rFonts w:hint="eastAsia" w:ascii="方正仿宋_GBK" w:hAnsi="方正仿宋_GBK" w:eastAsia="方正仿宋_GBK" w:cs="方正仿宋_GBK"/>
          <w:b/>
        </w:rPr>
        <w:t>（必须提供，否则竞标无效）</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14</w:t>
      </w:r>
      <w:r>
        <w:rPr>
          <w:rFonts w:hint="eastAsia" w:ascii="方正仿宋_GBK" w:hAnsi="方正仿宋_GBK" w:eastAsia="方正仿宋_GBK" w:cs="方正仿宋_GBK"/>
          <w:szCs w:val="21"/>
        </w:rPr>
        <w:t>）磋商采购文件列明的其他证明文件；（注明必须提供的必须提供，否则磋商无效）</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hint="eastAsia" w:ascii="方正仿宋_GBK" w:hAnsi="方正仿宋_GBK" w:eastAsia="方正仿宋_GBK" w:cs="方正仿宋_GBK"/>
          <w:szCs w:val="21"/>
          <w:lang w:val="en-US" w:eastAsia="zh-CN"/>
        </w:rPr>
        <w:t>5</w:t>
      </w:r>
      <w:r>
        <w:rPr>
          <w:rFonts w:hint="eastAsia" w:ascii="方正仿宋_GBK" w:hAnsi="方正仿宋_GBK" w:eastAsia="方正仿宋_GBK" w:cs="方正仿宋_GBK"/>
          <w:szCs w:val="21"/>
        </w:rPr>
        <w:t>）对本项目总体要求的理解。（包括但不限于：对本项目的理解、实施服务方案、拟投入团队成员，</w:t>
      </w:r>
      <w:r>
        <w:rPr>
          <w:rFonts w:hint="eastAsia" w:ascii="方正仿宋_GBK" w:hAnsi="方正仿宋_GBK" w:eastAsia="方正仿宋_GBK" w:cs="方正仿宋_GBK"/>
          <w:kern w:val="0"/>
          <w:szCs w:val="21"/>
          <w:highlight w:val="none"/>
        </w:rPr>
        <w:t>维保</w:t>
      </w:r>
      <w:r>
        <w:rPr>
          <w:rFonts w:hint="eastAsia" w:ascii="方正仿宋_GBK" w:hAnsi="方正仿宋_GBK" w:eastAsia="方正仿宋_GBK" w:cs="方正仿宋_GBK"/>
          <w:szCs w:val="21"/>
          <w:highlight w:val="none"/>
        </w:rPr>
        <w:t>服务承诺</w:t>
      </w:r>
      <w:r>
        <w:rPr>
          <w:rFonts w:hint="eastAsia" w:ascii="方正仿宋_GBK" w:hAnsi="方正仿宋_GBK" w:eastAsia="方正仿宋_GBK" w:cs="方正仿宋_GBK"/>
          <w:szCs w:val="21"/>
        </w:rPr>
        <w:t>等）[格式自拟，根据磋商采购文件“第三章采购需求和第二章 评标办法”要求自行编写]；</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hint="eastAsia" w:ascii="方正仿宋_GBK" w:hAnsi="方正仿宋_GBK" w:eastAsia="方正仿宋_GBK" w:cs="方正仿宋_GBK"/>
          <w:szCs w:val="21"/>
          <w:lang w:val="en-US" w:eastAsia="zh-CN"/>
        </w:rPr>
        <w:t>6</w:t>
      </w:r>
      <w:r>
        <w:rPr>
          <w:rFonts w:hint="eastAsia" w:ascii="方正仿宋_GBK" w:hAnsi="方正仿宋_GBK" w:eastAsia="方正仿宋_GBK" w:cs="方正仿宋_GBK"/>
          <w:szCs w:val="21"/>
        </w:rPr>
        <w:t>）培训、技术支持或</w:t>
      </w:r>
      <w:r>
        <w:rPr>
          <w:rFonts w:hint="eastAsia" w:ascii="方正仿宋_GBK" w:hAnsi="方正仿宋_GBK" w:eastAsia="方正仿宋_GBK" w:cs="方正仿宋_GBK"/>
          <w:kern w:val="0"/>
          <w:szCs w:val="21"/>
        </w:rPr>
        <w:t>维保</w:t>
      </w:r>
      <w:r>
        <w:rPr>
          <w:rFonts w:hint="eastAsia" w:ascii="方正仿宋_GBK" w:hAnsi="方正仿宋_GBK" w:eastAsia="方正仿宋_GBK" w:cs="方正仿宋_GBK"/>
          <w:szCs w:val="21"/>
        </w:rPr>
        <w:t>服务承诺方案（根据磋商采购文件“第三章 采购需求和第二章  评标方法”要求自行编写）；</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hint="eastAsia" w:ascii="方正仿宋_GBK" w:hAnsi="方正仿宋_GBK" w:eastAsia="方正仿宋_GBK" w:cs="方正仿宋_GBK"/>
          <w:szCs w:val="21"/>
          <w:lang w:val="en-US" w:eastAsia="zh-CN"/>
        </w:rPr>
        <w:t>7</w:t>
      </w:r>
      <w:r>
        <w:rPr>
          <w:rFonts w:hint="eastAsia" w:ascii="方正仿宋_GBK" w:hAnsi="方正仿宋_GBK" w:eastAsia="方正仿宋_GBK" w:cs="方正仿宋_GBK"/>
          <w:szCs w:val="21"/>
        </w:rPr>
        <w:t>）磋商供应商认为需要提供的有关资料（包含但不限于以下内容）：</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①节能环保等方面的资质证书；</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②</w:t>
      </w:r>
      <w:r>
        <w:rPr>
          <w:rFonts w:hint="eastAsia" w:ascii="方正仿宋_GBK" w:hAnsi="方正仿宋_GBK" w:eastAsia="方正仿宋_GBK" w:cs="方正仿宋_GBK"/>
          <w:szCs w:val="21"/>
          <w:highlight w:val="none"/>
        </w:rPr>
        <w:t>产品出厂标准、质量检测报告</w:t>
      </w:r>
      <w:r>
        <w:rPr>
          <w:rFonts w:hint="eastAsia" w:ascii="方正仿宋_GBK" w:hAnsi="方正仿宋_GBK" w:eastAsia="方正仿宋_GBK" w:cs="方正仿宋_GBK"/>
          <w:szCs w:val="21"/>
        </w:rPr>
        <w:t>；</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③磋商供应商质量管理和环境认证体系等方面的认证证书；</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④磋商供应商的信誉、荣誉证书；</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⑤磋商供应商认为可以证明其能力或业绩的其他材料；</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以上有关材料应真实有效，并全部加盖磋商供应商公章。磋商供应商应仔细阅读本磋商文件的所有内容，按照磋商采购文件的要求编制响应文件，并对其提交的响应文件的真实性、合法性承担法律责任，项目文件需符合本磋商文件的所有条款、条件和规定，没有明显的偏离或保留。属于“必须提供”的文件必须于本项目截标前与响应文件同时提交，否则竞标无效。其余由磋商供应商视自身情况自行提交。</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6. 计量单位</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6.1除技术要求中另有规定外，本文件所要求使用的计量单位均应采用国家法定计量单位。</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6.2竞标有效期：“第一章 磋商供应商须知前附表”中规定的竞标有效期。</w:t>
      </w:r>
    </w:p>
    <w:p>
      <w:pPr>
        <w:spacing w:line="36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三、磋商报价要求</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7.1对于本文件中未列明，而磋商供应商认为必需的费用也需列入总报价。在合同实施时，采购人将不予支付成交供应商没有列入的项目费用，并认为此项目的费用已包括在总报价中。</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7.2成交供应商负责本项目服务的全部工作。</w:t>
      </w:r>
    </w:p>
    <w:p>
      <w:pPr>
        <w:snapToGrid w:val="0"/>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7.3磋商供应商应按磋商报价表上的要求进行报价。大写金额和小写金额不一致的，以大写金额为准；对不同文字文本响应文件的解释发生异议的，以中文文本为准。除上述原因以外，如果因磋商供应商原因引起的报价失误，并在磋商时被接受，其后果由磋商供应商自负。</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7.4磋商供应商须就《采购需求》中的所有服务内容作完整唯一报价。</w:t>
      </w:r>
    </w:p>
    <w:p>
      <w:pPr>
        <w:spacing w:line="36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四、竞争性磋商响应文件的份数、封装和递交</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8. 磋商响应文件的份数和封装</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8.1磋商供应商应将竞争性磋商响应文</w:t>
      </w:r>
      <w:r>
        <w:rPr>
          <w:rFonts w:hint="eastAsia" w:ascii="方正仿宋_GBK" w:hAnsi="方正仿宋_GBK" w:eastAsia="方正仿宋_GBK" w:cs="方正仿宋_GBK"/>
          <w:color w:val="auto"/>
          <w:szCs w:val="21"/>
        </w:rPr>
        <w:t>件</w:t>
      </w:r>
      <w:r>
        <w:rPr>
          <w:rFonts w:hint="eastAsia" w:ascii="方正仿宋_GBK" w:hAnsi="方正仿宋_GBK" w:eastAsia="方正仿宋_GBK" w:cs="方正仿宋_GBK"/>
          <w:b/>
          <w:color w:val="auto"/>
          <w:szCs w:val="21"/>
        </w:rPr>
        <w:t>正本一份、副本二份</w:t>
      </w:r>
      <w:r>
        <w:rPr>
          <w:rFonts w:hint="eastAsia" w:ascii="方正仿宋_GBK" w:hAnsi="方正仿宋_GBK" w:eastAsia="方正仿宋_GBK" w:cs="方正仿宋_GBK"/>
          <w:szCs w:val="21"/>
        </w:rPr>
        <w:t>密封在信封（或包装袋(箱)子）中，密封处加盖公章，并在每套文件右上角注明“正本”、“副本”字样，若正本和副本有差异以正本为准（副本可以采用正本的复印件）。</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8.2竞争性磋商响应文件的信封（或包装袋(箱)子）封面上应写明：</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1）磋商项目名称；</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2）磋商项目编号；</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3）磋商供应商名称；</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4）磋商供应商地址：</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5）磋商供应商联系人；</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6）磋商供应商联系电话；</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7）注明“于开标前不得启封”。</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9. 竞争性磋商响应文件的递交</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9.1所有竞争性磋商竞争性响应文件应于“第一章 磋商供应商须知前附表”中规定的时间前递交到规定地点。</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10.迟交的竞争性磋商响应文件</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采购人将拒绝或原封退回在其规定的递交竞争性磋商响应文件截止时间之后收到的任何竞争性磋商响应文件。</w:t>
      </w:r>
    </w:p>
    <w:p>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五、磋商的步骤</w:t>
      </w:r>
    </w:p>
    <w:p>
      <w:pPr>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11.1</w:t>
      </w:r>
      <w:r>
        <w:rPr>
          <w:rFonts w:hint="eastAsia" w:ascii="方正仿宋_GBK" w:hAnsi="方正仿宋_GBK" w:eastAsia="方正仿宋_GBK" w:cs="方正仿宋_GBK"/>
          <w:b/>
          <w:bCs/>
          <w:szCs w:val="21"/>
        </w:rPr>
        <w:t>实质性及符合性审查</w:t>
      </w:r>
    </w:p>
    <w:p>
      <w:pPr>
        <w:snapToGrid w:val="0"/>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1）磋商小组审查磋商响应文件的实质性和符合性内容是否符合磋商采购文件的实质性要求，对通过资格审查的磋商供应商按规定的磋商时间进行磋商。</w:t>
      </w:r>
    </w:p>
    <w:p>
      <w:pPr>
        <w:snapToGrid w:val="0"/>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由法定代表人或其授权代表签章或者加盖公章。未实质性响应磋商响应文件的磋商响应文件按无效处理，磋商小组应当告知有关供应商。</w:t>
      </w:r>
    </w:p>
    <w:p>
      <w:pPr>
        <w:snapToGrid w:val="0"/>
        <w:spacing w:line="36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3）在采购过程中符合要求的供应商只有2家的，竞争性磋商采购活动可以继续进行或者终止。采购过程中符合要求的供应商只有1家的，采购人应当终止竞争性磋商采购活动，发布项目终止公告并说明原因，重新开展采购活动。</w:t>
      </w:r>
    </w:p>
    <w:p>
      <w:pPr>
        <w:widowControl/>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11.2</w:t>
      </w:r>
      <w:r>
        <w:rPr>
          <w:rFonts w:hint="eastAsia" w:ascii="方正仿宋_GBK" w:hAnsi="方正仿宋_GBK" w:eastAsia="方正仿宋_GBK" w:cs="方正仿宋_GBK"/>
          <w:b/>
          <w:szCs w:val="21"/>
        </w:rPr>
        <w:t>磋商响应文件修正</w:t>
      </w:r>
    </w:p>
    <w:p>
      <w:pPr>
        <w:widowControl/>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（1）磋商小组根据与供应商磋商情况可能实质性变动的内容包括采购需求中的技术、服务要求。</w:t>
      </w:r>
    </w:p>
    <w:p>
      <w:pPr>
        <w:widowControl/>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2）对磋商文件作出的实质性变动是磋商文件的有效组成部分，供应商应当按照磋商文件的变动情况和磋商小组的要求重新提交修正文件，并由其法定代表人或授权代表签章或者加盖公章。逾时不交的，视同放弃磋商。修正文件与响应文件同具法律效力。</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11.3</w:t>
      </w:r>
      <w:r>
        <w:rPr>
          <w:rFonts w:hint="eastAsia" w:ascii="方正仿宋_GBK" w:hAnsi="方正仿宋_GBK" w:eastAsia="方正仿宋_GBK" w:cs="方正仿宋_GBK"/>
          <w:b/>
          <w:szCs w:val="21"/>
        </w:rPr>
        <w:t xml:space="preserve">最后报价 </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磋商小组只要求通过商务评审和技术（服务）评审合格的磋商供应商在规定的时间内进行最后报价。 </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11.4磋商供应商的最终报价均超过了采购预算，采购人不能支付的，磋商活动终止。</w:t>
      </w:r>
    </w:p>
    <w:p>
      <w:pPr>
        <w:spacing w:line="36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六、确定成交供应商办法</w:t>
      </w:r>
    </w:p>
    <w:p>
      <w:pPr>
        <w:widowControl/>
        <w:tabs>
          <w:tab w:val="left" w:pos="540"/>
        </w:tabs>
        <w:spacing w:line="360" w:lineRule="exact"/>
        <w:ind w:firstLine="420" w:firstLineChars="200"/>
        <w:jc w:val="left"/>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12.1本项目评标方法是</w:t>
      </w:r>
      <w:r>
        <w:rPr>
          <w:rFonts w:hint="eastAsia" w:ascii="方正仿宋_GBK" w:hAnsi="方正仿宋_GBK" w:eastAsia="方正仿宋_GBK" w:cs="方正仿宋_GBK"/>
          <w:b/>
          <w:szCs w:val="21"/>
        </w:rPr>
        <w:t>综合评分法</w:t>
      </w:r>
      <w:r>
        <w:rPr>
          <w:rFonts w:hint="eastAsia" w:ascii="方正仿宋_GBK" w:hAnsi="方正仿宋_GBK" w:eastAsia="方正仿宋_GBK" w:cs="方正仿宋_GBK"/>
          <w:szCs w:val="21"/>
        </w:rPr>
        <w:t>，具体评标内容及评分标准等详见《第二章：评标方法》。</w:t>
      </w:r>
      <w:r>
        <w:rPr>
          <w:rFonts w:hint="eastAsia" w:ascii="方正仿宋_GBK" w:hAnsi="方正仿宋_GBK" w:eastAsia="方正仿宋_GBK" w:cs="方正仿宋_GBK"/>
          <w:szCs w:val="21"/>
          <w:lang w:val="en-US" w:eastAsia="zh-CN"/>
        </w:rPr>
        <w:t xml:space="preserve"> </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12.2采购人按照磋商报告中推荐的成交候选供应商顺序确定成交人。</w:t>
      </w:r>
    </w:p>
    <w:p>
      <w:pPr>
        <w:widowControl/>
        <w:tabs>
          <w:tab w:val="left" w:pos="540"/>
        </w:tabs>
        <w:spacing w:line="360" w:lineRule="exact"/>
        <w:ind w:firstLine="420" w:firstLineChars="20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12.3成交人确定后，采购人</w:t>
      </w:r>
      <w:r>
        <w:rPr>
          <w:rFonts w:hint="eastAsia" w:ascii="方正仿宋_GBK" w:hAnsi="方正仿宋_GBK" w:eastAsia="方正仿宋_GBK" w:cs="方正仿宋_GBK"/>
          <w:szCs w:val="21"/>
          <w:highlight w:val="none"/>
        </w:rPr>
        <w:t>在广西阳光采购服务平台（https://gxygcg.ejy365.com）</w:t>
      </w:r>
      <w:r>
        <w:rPr>
          <w:rFonts w:hint="eastAsia" w:ascii="方正仿宋_GBK" w:hAnsi="方正仿宋_GBK" w:eastAsia="方正仿宋_GBK" w:cs="方正仿宋_GBK"/>
          <w:szCs w:val="21"/>
          <w:highlight w:val="none"/>
          <w:lang w:eastAsia="zh-CN"/>
        </w:rPr>
        <w:t>、</w:t>
      </w:r>
      <w:r>
        <w:rPr>
          <w:rFonts w:hint="eastAsia" w:ascii="方正仿宋_GBK" w:hAnsi="方正仿宋_GBK" w:eastAsia="方正仿宋_GBK" w:cs="方正仿宋_GBK"/>
          <w:szCs w:val="20"/>
          <w:highlight w:val="none"/>
        </w:rPr>
        <w:t>广</w:t>
      </w:r>
      <w:r>
        <w:rPr>
          <w:rFonts w:hint="eastAsia" w:ascii="方正仿宋_GBK" w:hAnsi="方正仿宋_GBK" w:eastAsia="方正仿宋_GBK" w:cs="方正仿宋_GBK"/>
          <w:szCs w:val="20"/>
        </w:rPr>
        <w:t>西北部湾银行官网（www.bankofbbg.com）</w:t>
      </w:r>
      <w:r>
        <w:rPr>
          <w:rFonts w:hint="eastAsia" w:ascii="方正仿宋_GBK" w:hAnsi="方正仿宋_GBK" w:eastAsia="方正仿宋_GBK" w:cs="方正仿宋_GBK"/>
          <w:szCs w:val="21"/>
        </w:rPr>
        <w:t>发布采购结果公示。</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12.4磋商供应商认为磋商采购文件、磋商过程和采购结果使自己的权益受到损害的，可以在知道或者应知其权益受到损害之日起三个工作日内向采购人提出质疑。</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12.5采购人应当在收到磋商供应商的质疑后</w:t>
      </w:r>
      <w:r>
        <w:rPr>
          <w:rFonts w:hint="eastAsia" w:ascii="方正仿宋_GBK" w:hAnsi="方正仿宋_GBK" w:eastAsia="方正仿宋_GBK" w:cs="方正仿宋_GBK"/>
          <w:szCs w:val="21"/>
          <w:lang w:eastAsia="zh-CN"/>
        </w:rPr>
        <w:t>五</w:t>
      </w:r>
      <w:r>
        <w:rPr>
          <w:rFonts w:hint="eastAsia" w:ascii="方正仿宋_GBK" w:hAnsi="方正仿宋_GBK" w:eastAsia="方正仿宋_GBK" w:cs="方正仿宋_GBK"/>
          <w:szCs w:val="21"/>
        </w:rPr>
        <w:t>个工作日内做出答复，但答复的内容不得涉及商业秘密。</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12.6采购人无义务向未成交的供应商解释未中标原因和退还竞标响应文件。</w:t>
      </w:r>
    </w:p>
    <w:p>
      <w:pPr>
        <w:spacing w:line="360" w:lineRule="exact"/>
        <w:ind w:firstLine="517" w:firstLineChars="245"/>
        <w:rPr>
          <w:rFonts w:ascii="方正仿宋_GBK" w:hAnsi="方正仿宋_GBK" w:eastAsia="方正仿宋_GBK" w:cs="方正仿宋_GBK"/>
          <w:b/>
          <w:szCs w:val="21"/>
        </w:rPr>
      </w:pPr>
      <w:r>
        <w:rPr>
          <w:rFonts w:hint="eastAsia" w:ascii="方正仿宋_GBK" w:hAnsi="方正仿宋_GBK" w:eastAsia="方正仿宋_GBK" w:cs="方正仿宋_GBK"/>
          <w:b/>
          <w:szCs w:val="21"/>
        </w:rPr>
        <w:t>七、评标过程的监控</w:t>
      </w:r>
    </w:p>
    <w:p>
      <w:pPr>
        <w:spacing w:line="360" w:lineRule="exact"/>
        <w:ind w:firstLine="514" w:firstLineChars="245"/>
        <w:rPr>
          <w:rFonts w:ascii="方正仿宋_GBK" w:hAnsi="方正仿宋_GBK" w:eastAsia="方正仿宋_GBK" w:cs="方正仿宋_GBK"/>
          <w:bCs/>
          <w:szCs w:val="21"/>
        </w:rPr>
      </w:pPr>
      <w:r>
        <w:rPr>
          <w:rFonts w:hint="eastAsia" w:ascii="方正仿宋_GBK" w:hAnsi="方正仿宋_GBK" w:eastAsia="方正仿宋_GBK" w:cs="方正仿宋_GBK"/>
          <w:bCs/>
          <w:szCs w:val="21"/>
        </w:rPr>
        <w:t>13.本项目磋商过程实行全程录音，磋商供应商在评标过程中所进行的试图影响评标结果的不公正活动，可能导致其竞标被拒绝。</w:t>
      </w:r>
    </w:p>
    <w:p>
      <w:pPr>
        <w:spacing w:line="360" w:lineRule="exact"/>
        <w:ind w:firstLine="517" w:firstLineChars="245"/>
        <w:rPr>
          <w:rFonts w:ascii="方正仿宋_GBK" w:hAnsi="方正仿宋_GBK" w:eastAsia="方正仿宋_GBK" w:cs="方正仿宋_GBK"/>
          <w:b/>
          <w:szCs w:val="21"/>
        </w:rPr>
      </w:pPr>
      <w:r>
        <w:rPr>
          <w:rFonts w:hint="eastAsia" w:ascii="方正仿宋_GBK" w:hAnsi="方正仿宋_GBK" w:eastAsia="方正仿宋_GBK" w:cs="方正仿宋_GBK"/>
          <w:b/>
          <w:szCs w:val="21"/>
        </w:rPr>
        <w:t>八、签订合同</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14.1成交供应商在采购结果公示期结束后按规定与采购人签订服务合同，服务合同条款以双方协定为准。</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14.2如签订合同并生效后，供应商无故拒绝或延期，除按照合同条款处理外，列入不良行为记录，并给予通报。</w:t>
      </w:r>
    </w:p>
    <w:p>
      <w:pPr>
        <w:widowControl/>
        <w:tabs>
          <w:tab w:val="left" w:pos="540"/>
        </w:tabs>
        <w:spacing w:line="360" w:lineRule="exact"/>
        <w:ind w:firstLine="422" w:firstLineChars="200"/>
        <w:jc w:val="left"/>
        <w:rPr>
          <w:rFonts w:ascii="方正仿宋_GBK" w:hAnsi="方正仿宋_GBK" w:eastAsia="方正仿宋_GBK" w:cs="方正仿宋_GBK"/>
          <w:b/>
          <w:szCs w:val="21"/>
        </w:rPr>
      </w:pPr>
      <w:r>
        <w:rPr>
          <w:rFonts w:hint="eastAsia" w:ascii="方正仿宋_GBK" w:hAnsi="方正仿宋_GBK" w:eastAsia="方正仿宋_GBK" w:cs="方正仿宋_GBK"/>
          <w:b/>
          <w:szCs w:val="21"/>
        </w:rPr>
        <w:t>九、磋商无效的情形</w:t>
      </w:r>
    </w:p>
    <w:p>
      <w:pPr>
        <w:widowControl/>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15.磋商供应商没有按照磋商采购文件要求提供全部资料，或实质上没有响应磋商采购文件要求的磋商将被视为无效竞标。竞标供应商不得通过修正或撤消不合要求的偏离或保留从而使其竞标成为实质上响应的竞标，但磋商小组认定属于磋商供应商疏忽、笔误所造成的差错，可允许其在磋商结束之前进行修改或者补正（可以是复印件、传真件等，原件必须加盖单位公章）。修改或者补正磋商响应文件必须以书面形式进行，并根据项目情况在采购结果公示之前查核原件。限期内不补正或经补正后仍不符合磋商采购文件要求的，应认定其竞标无效。磋商供应商修改、补正竞标响应文件后，不影响磋商小组对其磋商响应文件所作的评价和评分结果。</w:t>
      </w:r>
    </w:p>
    <w:p>
      <w:pPr>
        <w:widowControl/>
        <w:tabs>
          <w:tab w:val="left" w:pos="540"/>
        </w:tabs>
        <w:spacing w:line="360" w:lineRule="exact"/>
        <w:ind w:firstLine="422" w:firstLineChars="200"/>
        <w:jc w:val="left"/>
        <w:rPr>
          <w:rFonts w:ascii="方正仿宋_GBK" w:hAnsi="方正仿宋_GBK" w:eastAsia="方正仿宋_GBK" w:cs="方正仿宋_GBK"/>
          <w:b/>
          <w:szCs w:val="21"/>
        </w:rPr>
      </w:pPr>
      <w:r>
        <w:rPr>
          <w:rFonts w:hint="eastAsia" w:ascii="方正仿宋_GBK" w:hAnsi="方正仿宋_GBK" w:eastAsia="方正仿宋_GBK" w:cs="方正仿宋_GBK"/>
          <w:b/>
          <w:szCs w:val="21"/>
        </w:rPr>
        <w:t>15.1在符合性审查和资格性审查时，如发现下列情形之一的，磋商响应文件将被视为无效：</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（1）超越了按照法律法规规定必须获得行政许可或者行政审批的经营范围的；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（2）资格证明文件不全的，或者不符合磋商采购文件标明的资格要求的；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（3）磋商响应文件无法定代表人或委托代理人签字，或未提供法定代表人授权委托书、磋商声明书或者填写项目错误、不齐全的；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（4）竞标代表人未能出具有效身份证明或与法定代表人或委托代理人身份不符的；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（5）竞标响应文件的实质性内容未使用中文表述、意思表述不明确、前后矛盾或者使用计量单位不符合磋商采购文件要求的（经磋商小组认定并允许其当场更正的笔误除外）；</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（6）竞标有效期、交付使用时间、质保期等商务条款不能满足磋商采购文件要求的；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（7）未实质性响应磋商采购文件要求或者磋商响应文件有采购人不能接受的附加条件的，内容虚假的。</w:t>
      </w:r>
    </w:p>
    <w:p>
      <w:pPr>
        <w:widowControl/>
        <w:tabs>
          <w:tab w:val="left" w:pos="540"/>
        </w:tabs>
        <w:spacing w:line="360" w:lineRule="exact"/>
        <w:ind w:firstLine="422" w:firstLineChars="200"/>
        <w:jc w:val="left"/>
        <w:rPr>
          <w:rFonts w:ascii="方正仿宋_GBK" w:hAnsi="方正仿宋_GBK" w:eastAsia="方正仿宋_GBK" w:cs="方正仿宋_GBK"/>
          <w:b/>
          <w:szCs w:val="21"/>
        </w:rPr>
      </w:pPr>
      <w:r>
        <w:rPr>
          <w:rFonts w:hint="eastAsia" w:ascii="方正仿宋_GBK" w:hAnsi="方正仿宋_GBK" w:eastAsia="方正仿宋_GBK" w:cs="方正仿宋_GBK"/>
          <w:b/>
          <w:szCs w:val="21"/>
        </w:rPr>
        <w:t>15.2在技术评审时，如发现下列情形之一的，磋商响应文件将被视为无效：</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（1）未提供或未如实提供磋商货物的技术参数，或者磋商响应文件标明的响应或偏离与事实不符或虚假投标的；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（2）明显不符合磋商采购文件要求的规格型号、质量标准、其他等实质性条件，或者经磋商小组认定与磋商采购文件中标注“★”的技术指标、主要功能及要求发生实质性偏离的；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（3）竞标技术方案不明确，存在一个或一个以上备选（替代）磋商方案的；</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（4）与其他参加本次磋商供应商的竞标响应文件（技术文件）的文字表述内容差错相同3处以上的。</w:t>
      </w:r>
    </w:p>
    <w:p>
      <w:pPr>
        <w:widowControl/>
        <w:tabs>
          <w:tab w:val="left" w:pos="540"/>
        </w:tabs>
        <w:spacing w:line="360" w:lineRule="exact"/>
        <w:ind w:firstLine="422" w:firstLineChars="200"/>
        <w:jc w:val="left"/>
        <w:rPr>
          <w:rFonts w:ascii="方正仿宋_GBK" w:hAnsi="方正仿宋_GBK" w:eastAsia="方正仿宋_GBK" w:cs="方正仿宋_GBK"/>
          <w:b/>
          <w:szCs w:val="21"/>
        </w:rPr>
      </w:pPr>
      <w:r>
        <w:rPr>
          <w:rFonts w:hint="eastAsia" w:ascii="方正仿宋_GBK" w:hAnsi="方正仿宋_GBK" w:eastAsia="方正仿宋_GBK" w:cs="方正仿宋_GBK"/>
          <w:b/>
          <w:szCs w:val="21"/>
        </w:rPr>
        <w:t>15.3 在报价评审时，如发现下列情形之一的，磋商响应文件将被视为无效：</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（1）未采用人民币报价或者未按照磋商采购文件标明的币种报价的；</w:t>
      </w:r>
    </w:p>
    <w:p>
      <w:pPr>
        <w:widowControl/>
        <w:tabs>
          <w:tab w:val="left" w:pos="540"/>
        </w:tabs>
        <w:spacing w:line="360" w:lineRule="exact"/>
        <w:ind w:left="420" w:left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（2）竞标报价具有选择性，或者最终价格与磋商响应文件承诺的优惠、折扣、价格不一致的；           </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3）磋商小组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磋商小组应当将其作为无效竞标处理。</w:t>
      </w:r>
    </w:p>
    <w:p>
      <w:pPr>
        <w:widowControl/>
        <w:tabs>
          <w:tab w:val="left" w:pos="540"/>
        </w:tabs>
        <w:spacing w:line="360" w:lineRule="exact"/>
        <w:ind w:firstLine="422" w:firstLineChars="200"/>
        <w:jc w:val="left"/>
        <w:rPr>
          <w:rFonts w:ascii="方正仿宋_GBK" w:hAnsi="方正仿宋_GBK" w:eastAsia="方正仿宋_GBK" w:cs="方正仿宋_GBK"/>
          <w:b/>
          <w:szCs w:val="21"/>
        </w:rPr>
      </w:pPr>
      <w:r>
        <w:rPr>
          <w:rFonts w:hint="eastAsia" w:ascii="方正仿宋_GBK" w:hAnsi="方正仿宋_GBK" w:eastAsia="方正仿宋_GBK" w:cs="方正仿宋_GBK"/>
          <w:b/>
          <w:szCs w:val="21"/>
        </w:rPr>
        <w:t>15.4 磋商供应商有下列情形之一的视为磋商供应商相互串通投标，竞标响应文件将被视为无效：</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（1）不同磋商供应商的磋商响应文件由同一单位或者个人编制；</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（2）不同磋商供应商委托同一单位或者个人办理磋商事宜；</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（3）不同的磋商供应商的竞标响应文件载明的项目管理员或项目实施人员为同一个人；</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（4）不同磋商供应商的竞标响应文件异常一致或磋商报价呈规律性差异；</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（5）不同磋商供应商的竞标响应文件相互混装。</w:t>
      </w:r>
    </w:p>
    <w:p>
      <w:pPr>
        <w:widowControl/>
        <w:tabs>
          <w:tab w:val="left" w:pos="540"/>
        </w:tabs>
        <w:spacing w:line="360" w:lineRule="exact"/>
        <w:ind w:firstLine="422" w:firstLineChars="200"/>
        <w:jc w:val="left"/>
        <w:rPr>
          <w:rFonts w:ascii="方正仿宋_GBK" w:hAnsi="方正仿宋_GBK" w:eastAsia="方正仿宋_GBK" w:cs="方正仿宋_GBK"/>
          <w:b/>
          <w:szCs w:val="21"/>
        </w:rPr>
      </w:pPr>
      <w:r>
        <w:rPr>
          <w:rFonts w:hint="eastAsia" w:ascii="方正仿宋_GBK" w:hAnsi="方正仿宋_GBK" w:eastAsia="方正仿宋_GBK" w:cs="方正仿宋_GBK"/>
          <w:b/>
          <w:szCs w:val="21"/>
        </w:rPr>
        <w:t>15.5关联供应商不得参加同一合同项下采购活动，否则竞标响应文件将被视为无效：</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（1）单位负责人为同一人或者存在直接控股、管理关系的不同的供应商，不得参加同一合同项下的采购活动；</w:t>
      </w:r>
    </w:p>
    <w:p>
      <w:pPr>
        <w:widowControl/>
        <w:tabs>
          <w:tab w:val="left" w:pos="540"/>
        </w:tabs>
        <w:spacing w:line="360" w:lineRule="exact"/>
        <w:ind w:firstLine="420" w:firstLineChars="20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（2）生产厂商授权给供应商后自己不得参加同一合同项下的采购活动。</w:t>
      </w:r>
    </w:p>
    <w:p>
      <w:pPr>
        <w:snapToGrid w:val="0"/>
        <w:ind w:right="482"/>
        <w:jc w:val="center"/>
        <w:outlineLvl w:val="0"/>
        <w:rPr>
          <w:rFonts w:ascii="方正仿宋_GBK" w:hAnsi="方正仿宋_GBK" w:eastAsia="方正仿宋_GBK" w:cs="方正仿宋_GBK"/>
          <w:b/>
          <w:sz w:val="32"/>
          <w:szCs w:val="32"/>
        </w:rPr>
      </w:pPr>
      <w:bookmarkStart w:id="4" w:name="_Toc58064533"/>
      <w:r>
        <w:rPr>
          <w:rFonts w:hint="eastAsia" w:ascii="方正仿宋_GBK" w:hAnsi="方正仿宋_GBK" w:eastAsia="方正仿宋_GBK" w:cs="方正仿宋_GBK"/>
          <w:b/>
          <w:sz w:val="32"/>
          <w:szCs w:val="32"/>
        </w:rPr>
        <w:br w:type="page"/>
      </w:r>
      <w:r>
        <w:rPr>
          <w:rFonts w:hint="eastAsia" w:ascii="方正仿宋_GBK" w:hAnsi="方正仿宋_GBK" w:eastAsia="方正仿宋_GBK" w:cs="方正仿宋_GBK"/>
          <w:b/>
          <w:bCs/>
          <w:sz w:val="32"/>
          <w:szCs w:val="32"/>
        </w:rPr>
        <w:t>第二章 评标方法</w:t>
      </w:r>
      <w:bookmarkEnd w:id="4"/>
    </w:p>
    <w:p>
      <w:pPr>
        <w:pStyle w:val="22"/>
        <w:spacing w:line="360" w:lineRule="exact"/>
        <w:ind w:firstLine="348" w:firstLineChars="165"/>
        <w:rPr>
          <w:rFonts w:ascii="方正仿宋_GBK" w:hAnsi="方正仿宋_GBK" w:eastAsia="方正仿宋_GBK" w:cs="方正仿宋_GBK"/>
          <w:b/>
          <w:szCs w:val="21"/>
        </w:rPr>
      </w:pPr>
      <w:bookmarkStart w:id="5" w:name="_Toc58064534"/>
      <w:r>
        <w:rPr>
          <w:rFonts w:hint="eastAsia" w:ascii="方正仿宋_GBK" w:hAnsi="方正仿宋_GBK" w:eastAsia="方正仿宋_GBK" w:cs="方正仿宋_GBK"/>
          <w:b/>
          <w:szCs w:val="21"/>
        </w:rPr>
        <w:t>一、评标原则</w:t>
      </w:r>
    </w:p>
    <w:p>
      <w:pPr>
        <w:pStyle w:val="22"/>
        <w:spacing w:line="360" w:lineRule="exact"/>
        <w:ind w:firstLine="273" w:firstLineChars="130"/>
        <w:rPr>
          <w:rFonts w:ascii="方正仿宋_GBK" w:hAnsi="方正仿宋_GBK" w:eastAsia="方正仿宋_GBK" w:cs="方正仿宋_GBK"/>
          <w:bCs/>
          <w:szCs w:val="21"/>
        </w:rPr>
      </w:pPr>
      <w:r>
        <w:rPr>
          <w:rFonts w:hint="eastAsia" w:ascii="方正仿宋_GBK" w:hAnsi="方正仿宋_GBK" w:eastAsia="方正仿宋_GBK" w:cs="方正仿宋_GBK"/>
          <w:bCs/>
          <w:szCs w:val="21"/>
        </w:rPr>
        <w:t>(一)</w:t>
      </w:r>
      <w:r>
        <w:rPr>
          <w:rFonts w:hint="eastAsia" w:ascii="方正仿宋_GBK" w:hAnsi="方正仿宋_GBK" w:eastAsia="方正仿宋_GBK" w:cs="方正仿宋_GBK"/>
          <w:szCs w:val="21"/>
        </w:rPr>
        <w:t xml:space="preserve"> 磋商小组的构成：本采购项目的磋商小组由采购人组织的评审专家组成</w:t>
      </w:r>
      <w:r>
        <w:rPr>
          <w:rFonts w:hint="eastAsia" w:ascii="方正仿宋_GBK" w:hAnsi="方正仿宋_GBK" w:eastAsia="方正仿宋_GBK" w:cs="方正仿宋_GBK"/>
          <w:bCs/>
          <w:szCs w:val="21"/>
        </w:rPr>
        <w:t>。</w:t>
      </w:r>
    </w:p>
    <w:p>
      <w:pPr>
        <w:pStyle w:val="22"/>
        <w:spacing w:line="360" w:lineRule="exact"/>
        <w:ind w:firstLine="289" w:firstLineChars="138"/>
        <w:rPr>
          <w:rFonts w:ascii="方正仿宋_GBK" w:hAnsi="方正仿宋_GBK" w:eastAsia="方正仿宋_GBK" w:cs="方正仿宋_GBK"/>
          <w:szCs w:val="21"/>
        </w:rPr>
      </w:pPr>
      <w:r>
        <w:rPr>
          <w:rFonts w:hint="eastAsia" w:ascii="方正仿宋_GBK" w:hAnsi="方正仿宋_GBK" w:eastAsia="方正仿宋_GBK" w:cs="方正仿宋_GBK"/>
          <w:bCs/>
          <w:szCs w:val="21"/>
        </w:rPr>
        <w:t>(二) 评标依据：</w:t>
      </w:r>
      <w:r>
        <w:rPr>
          <w:rFonts w:hint="eastAsia" w:ascii="方正仿宋_GBK" w:hAnsi="方正仿宋_GBK" w:eastAsia="方正仿宋_GBK" w:cs="方正仿宋_GBK"/>
          <w:szCs w:val="21"/>
        </w:rPr>
        <w:t>磋商小组</w:t>
      </w:r>
      <w:r>
        <w:rPr>
          <w:rFonts w:hint="eastAsia" w:ascii="方正仿宋_GBK" w:hAnsi="方正仿宋_GBK" w:eastAsia="方正仿宋_GBK" w:cs="方正仿宋_GBK"/>
          <w:bCs/>
          <w:szCs w:val="21"/>
        </w:rPr>
        <w:t>将以磋商响应文件为评标依据，对磋商供应的商务、技术、报价方面内容按百分制打分(按四舍五入取至百分位）</w:t>
      </w:r>
      <w:r>
        <w:rPr>
          <w:rFonts w:hint="eastAsia" w:ascii="方正仿宋_GBK" w:hAnsi="方正仿宋_GBK" w:eastAsia="方正仿宋_GBK" w:cs="方正仿宋_GBK"/>
          <w:szCs w:val="21"/>
        </w:rPr>
        <w:t>。</w:t>
      </w:r>
    </w:p>
    <w:p>
      <w:pPr>
        <w:pStyle w:val="22"/>
        <w:spacing w:line="360" w:lineRule="exact"/>
        <w:ind w:firstLine="289" w:firstLineChars="138"/>
        <w:rPr>
          <w:rFonts w:hint="eastAsia" w:ascii="方正仿宋_GBK" w:hAnsi="方正仿宋_GBK" w:eastAsia="方正仿宋_GBK" w:cs="方正仿宋_GBK"/>
          <w:b/>
          <w:bCs/>
          <w:szCs w:val="21"/>
        </w:rPr>
      </w:pPr>
      <w:r>
        <w:rPr>
          <w:rFonts w:hint="eastAsia" w:ascii="方正仿宋_GBK" w:hAnsi="方正仿宋_GBK" w:eastAsia="方正仿宋_GBK" w:cs="方正仿宋_GBK"/>
          <w:bCs/>
          <w:szCs w:val="21"/>
        </w:rPr>
        <w:t xml:space="preserve">(三) </w:t>
      </w:r>
      <w:r>
        <w:rPr>
          <w:rFonts w:hint="eastAsia" w:ascii="方正仿宋_GBK" w:hAnsi="方正仿宋_GBK" w:eastAsia="方正仿宋_GBK" w:cs="方正仿宋_GBK"/>
          <w:b/>
          <w:bCs/>
          <w:szCs w:val="21"/>
        </w:rPr>
        <w:t>磋商小组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磋商小组应当将其作为无效磋商处理。</w:t>
      </w:r>
    </w:p>
    <w:p>
      <w:pPr>
        <w:pStyle w:val="22"/>
        <w:spacing w:line="360" w:lineRule="exact"/>
        <w:ind w:firstLine="291" w:firstLineChars="138"/>
        <w:rPr>
          <w:rFonts w:hint="eastAsia" w:ascii="方正仿宋_GBK" w:hAnsi="方正仿宋_GBK" w:eastAsia="方正仿宋_GBK" w:cs="方正仿宋_GBK"/>
          <w:b/>
          <w:bCs/>
          <w:szCs w:val="21"/>
        </w:rPr>
      </w:pPr>
      <w:r>
        <w:rPr>
          <w:rFonts w:hint="eastAsia" w:ascii="方正仿宋_GBK" w:hAnsi="方正仿宋_GBK" w:eastAsia="方正仿宋_GBK" w:cs="方正仿宋_GBK"/>
          <w:b/>
          <w:szCs w:val="21"/>
        </w:rPr>
        <w:t>二、评定方法</w:t>
      </w:r>
    </w:p>
    <w:tbl>
      <w:tblPr>
        <w:tblStyle w:val="43"/>
        <w:tblpPr w:leftFromText="181" w:rightFromText="181" w:vertAnchor="text" w:horzAnchor="page" w:tblpX="902" w:tblpY="1"/>
        <w:tblOverlap w:val="never"/>
        <w:tblW w:w="10215" w:type="dxa"/>
        <w:tblInd w:w="0" w:type="dxa"/>
        <w:tblLayout w:type="fixed"/>
        <w:tblCellMar>
          <w:top w:w="0" w:type="dxa"/>
          <w:left w:w="108" w:type="dxa"/>
          <w:bottom w:w="0" w:type="dxa"/>
          <w:right w:w="108" w:type="dxa"/>
        </w:tblCellMar>
      </w:tblPr>
      <w:tblGrid>
        <w:gridCol w:w="1444"/>
        <w:gridCol w:w="881"/>
        <w:gridCol w:w="7890"/>
      </w:tblGrid>
      <w:tr>
        <w:tblPrEx>
          <w:tblCellMar>
            <w:top w:w="0" w:type="dxa"/>
            <w:left w:w="108" w:type="dxa"/>
            <w:bottom w:w="0" w:type="dxa"/>
            <w:right w:w="108" w:type="dxa"/>
          </w:tblCellMar>
        </w:tblPrEx>
        <w:trPr>
          <w:trHeight w:val="570" w:hRule="atLeast"/>
        </w:trPr>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eastAsia="方正仿宋_GBK" w:cs="方正仿宋_GBK"/>
                <w:b/>
                <w:kern w:val="0"/>
                <w:sz w:val="21"/>
                <w:szCs w:val="21"/>
                <w:lang w:eastAsia="zh-CN"/>
              </w:rPr>
            </w:pPr>
            <w:r>
              <w:rPr>
                <w:rFonts w:hint="eastAsia" w:ascii="方正仿宋_GBK" w:hAnsi="方正仿宋_GBK" w:eastAsia="方正仿宋_GBK" w:cs="方正仿宋_GBK"/>
                <w:b/>
                <w:kern w:val="0"/>
                <w:sz w:val="21"/>
                <w:szCs w:val="21"/>
                <w:lang w:val="en-US" w:eastAsia="zh-CN"/>
              </w:rPr>
              <w:t xml:space="preserve">  </w:t>
            </w:r>
            <w:r>
              <w:rPr>
                <w:rFonts w:hint="eastAsia" w:ascii="方正仿宋_GBK" w:hAnsi="方正仿宋_GBK" w:eastAsia="方正仿宋_GBK" w:cs="方正仿宋_GBK"/>
                <w:b/>
                <w:kern w:val="0"/>
                <w:sz w:val="21"/>
                <w:szCs w:val="21"/>
                <w:lang w:eastAsia="zh-CN"/>
              </w:rPr>
              <w:t>评价分项</w:t>
            </w:r>
          </w:p>
        </w:tc>
        <w:tc>
          <w:tcPr>
            <w:tcW w:w="8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分数</w:t>
            </w:r>
          </w:p>
        </w:tc>
        <w:tc>
          <w:tcPr>
            <w:tcW w:w="789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评分内容</w:t>
            </w:r>
          </w:p>
        </w:tc>
      </w:tr>
      <w:tr>
        <w:tblPrEx>
          <w:tblCellMar>
            <w:top w:w="0" w:type="dxa"/>
            <w:left w:w="108" w:type="dxa"/>
            <w:bottom w:w="0" w:type="dxa"/>
            <w:right w:w="108" w:type="dxa"/>
          </w:tblCellMar>
        </w:tblPrEx>
        <w:trPr>
          <w:trHeight w:val="2939" w:hRule="atLeast"/>
        </w:trPr>
        <w:tc>
          <w:tcPr>
            <w:tcW w:w="1444" w:type="dxa"/>
            <w:tcBorders>
              <w:top w:val="nil"/>
              <w:left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val="en-US" w:eastAsia="zh-CN"/>
              </w:rPr>
              <w:t>业绩</w:t>
            </w:r>
          </w:p>
        </w:tc>
        <w:tc>
          <w:tcPr>
            <w:tcW w:w="881" w:type="dxa"/>
            <w:tcBorders>
              <w:top w:val="nil"/>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val="en-US" w:eastAsia="zh-CN"/>
              </w:rPr>
              <w:t>10分</w:t>
            </w:r>
          </w:p>
        </w:tc>
        <w:tc>
          <w:tcPr>
            <w:tcW w:w="7890" w:type="dxa"/>
            <w:tcBorders>
              <w:top w:val="nil"/>
              <w:left w:val="nil"/>
              <w:bottom w:val="single" w:color="auto" w:sz="4" w:space="0"/>
              <w:right w:val="single" w:color="auto" w:sz="4" w:space="0"/>
            </w:tcBorders>
            <w:vAlign w:val="center"/>
          </w:tcPr>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投标人提供近3年（2021年1月1日至响应文件递交截至日期止）银行业务审计、年报审计、理财业务审计案例，同一单位的多个类型案例可多次计算。</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z w:val="21"/>
                <w:szCs w:val="21"/>
              </w:rPr>
              <w:t>1.政策性银行、国有商业银行（工行、农行、中行、建行、交行和邮储）、全国性股份制银行</w:t>
            </w:r>
            <w:r>
              <w:rPr>
                <w:rFonts w:hint="eastAsia" w:ascii="方正仿宋_GBK" w:hAnsi="方正仿宋_GBK" w:eastAsia="方正仿宋_GBK" w:cs="方正仿宋_GBK"/>
                <w:color w:val="000000"/>
                <w:sz w:val="21"/>
                <w:szCs w:val="21"/>
                <w:highlight w:val="none"/>
              </w:rPr>
              <w:t>总行级项目案例每个得3分；</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z w:val="21"/>
                <w:szCs w:val="21"/>
                <w:highlight w:val="none"/>
              </w:rPr>
              <w:t>2.省级农信社、各级城商行总行</w:t>
            </w:r>
            <w:r>
              <w:rPr>
                <w:rFonts w:hint="eastAsia" w:ascii="方正仿宋_GBK" w:hAnsi="方正仿宋_GBK" w:eastAsia="方正仿宋_GBK" w:cs="方正仿宋_GBK"/>
                <w:color w:val="000000"/>
                <w:sz w:val="21"/>
                <w:szCs w:val="21"/>
                <w:highlight w:val="none"/>
                <w:lang w:eastAsia="zh-CN"/>
              </w:rPr>
              <w:t>级</w:t>
            </w:r>
            <w:r>
              <w:rPr>
                <w:rFonts w:hint="eastAsia" w:ascii="方正仿宋_GBK" w:hAnsi="方正仿宋_GBK" w:eastAsia="方正仿宋_GBK" w:cs="方正仿宋_GBK"/>
                <w:color w:val="000000"/>
                <w:sz w:val="21"/>
                <w:szCs w:val="21"/>
                <w:highlight w:val="none"/>
              </w:rPr>
              <w:t>项目案例每个2分；</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z w:val="21"/>
                <w:szCs w:val="21"/>
                <w:highlight w:val="none"/>
              </w:rPr>
              <w:t>3.其它性质银行</w:t>
            </w:r>
            <w:r>
              <w:rPr>
                <w:rFonts w:hint="eastAsia" w:ascii="方正仿宋_GBK" w:hAnsi="方正仿宋_GBK" w:eastAsia="方正仿宋_GBK" w:cs="方正仿宋_GBK"/>
                <w:color w:val="000000"/>
                <w:sz w:val="21"/>
                <w:szCs w:val="21"/>
                <w:highlight w:val="none"/>
                <w:lang w:eastAsia="zh-CN"/>
              </w:rPr>
              <w:t>总行级</w:t>
            </w:r>
            <w:r>
              <w:rPr>
                <w:rFonts w:hint="eastAsia" w:ascii="方正仿宋_GBK" w:hAnsi="方正仿宋_GBK" w:eastAsia="方正仿宋_GBK" w:cs="方正仿宋_GBK"/>
                <w:color w:val="000000"/>
                <w:sz w:val="21"/>
                <w:szCs w:val="21"/>
                <w:highlight w:val="none"/>
              </w:rPr>
              <w:t>项目案例每个1分，本类型案例最多得5分；</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4.以上3项的得分累计计算，本项最多得10分。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000000"/>
                <w:sz w:val="21"/>
                <w:szCs w:val="21"/>
                <w:highlight w:val="none"/>
              </w:rPr>
              <w:t>注：</w:t>
            </w:r>
            <w:r>
              <w:rPr>
                <w:rFonts w:hint="eastAsia" w:ascii="方正仿宋_GBK" w:hAnsi="方正仿宋_GBK" w:eastAsia="方正仿宋_GBK" w:cs="方正仿宋_GBK"/>
                <w:color w:val="000000"/>
                <w:sz w:val="21"/>
                <w:szCs w:val="21"/>
                <w:highlight w:val="none"/>
                <w:lang w:eastAsia="zh-CN"/>
              </w:rPr>
              <w:t>审计案例不包括理财子公司。</w:t>
            </w:r>
            <w:r>
              <w:rPr>
                <w:rFonts w:hint="eastAsia" w:ascii="方正仿宋_GBK" w:hAnsi="方正仿宋_GBK" w:eastAsia="方正仿宋_GBK" w:cs="方正仿宋_GBK"/>
                <w:color w:val="000000"/>
                <w:sz w:val="21"/>
                <w:szCs w:val="21"/>
              </w:rPr>
              <w:t>需提供合同复印件并加盖单位公章，不提供则不得分</w:t>
            </w:r>
          </w:p>
        </w:tc>
      </w:tr>
      <w:tr>
        <w:tblPrEx>
          <w:tblCellMar>
            <w:top w:w="0" w:type="dxa"/>
            <w:left w:w="108" w:type="dxa"/>
            <w:bottom w:w="0" w:type="dxa"/>
            <w:right w:w="108" w:type="dxa"/>
          </w:tblCellMar>
        </w:tblPrEx>
        <w:trPr>
          <w:trHeight w:val="2647" w:hRule="atLeast"/>
        </w:trPr>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人员配置及工作经验</w:t>
            </w:r>
          </w:p>
        </w:tc>
        <w:tc>
          <w:tcPr>
            <w:tcW w:w="8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bCs w:val="0"/>
                <w:kern w:val="0"/>
                <w:sz w:val="21"/>
                <w:szCs w:val="21"/>
                <w:lang w:val="en-US" w:eastAsia="zh-CN"/>
              </w:rPr>
              <w:t>15</w:t>
            </w:r>
            <w:r>
              <w:rPr>
                <w:rFonts w:hint="eastAsia" w:ascii="方正仿宋_GBK" w:hAnsi="方正仿宋_GBK" w:eastAsia="方正仿宋_GBK" w:cs="方正仿宋_GBK"/>
                <w:b/>
                <w:bCs w:val="0"/>
                <w:kern w:val="0"/>
                <w:sz w:val="21"/>
                <w:szCs w:val="21"/>
              </w:rPr>
              <w:t>分</w:t>
            </w:r>
          </w:p>
        </w:tc>
        <w:tc>
          <w:tcPr>
            <w:tcW w:w="78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方正仿宋_GBK" w:hAnsi="方正仿宋_GBK" w:eastAsia="方正仿宋_GBK" w:cs="方正仿宋_GBK"/>
                <w:b w:val="0"/>
                <w:bCs/>
                <w:color w:val="auto"/>
                <w:sz w:val="21"/>
                <w:szCs w:val="21"/>
              </w:rPr>
            </w:pPr>
            <w:r>
              <w:rPr>
                <w:rFonts w:hint="eastAsia" w:ascii="方正仿宋_GBK" w:hAnsi="方正仿宋_GBK" w:eastAsia="方正仿宋_GBK" w:cs="方正仿宋_GBK"/>
                <w:b/>
                <w:bCs w:val="0"/>
                <w:color w:val="auto"/>
                <w:sz w:val="21"/>
                <w:szCs w:val="21"/>
                <w:lang w:val="en-US" w:eastAsia="zh-CN"/>
              </w:rPr>
              <w:t>1.</w:t>
            </w:r>
            <w:r>
              <w:rPr>
                <w:rFonts w:hint="eastAsia" w:ascii="方正仿宋_GBK" w:hAnsi="方正仿宋_GBK" w:eastAsia="方正仿宋_GBK" w:cs="方正仿宋_GBK"/>
                <w:b/>
                <w:bCs w:val="0"/>
                <w:color w:val="auto"/>
                <w:sz w:val="21"/>
                <w:szCs w:val="21"/>
              </w:rPr>
              <w:t>项目负责人情况（</w:t>
            </w:r>
            <w:r>
              <w:rPr>
                <w:rFonts w:hint="eastAsia" w:ascii="方正仿宋_GBK" w:hAnsi="方正仿宋_GBK" w:eastAsia="方正仿宋_GBK" w:cs="方正仿宋_GBK"/>
                <w:b/>
                <w:bCs w:val="0"/>
                <w:color w:val="auto"/>
                <w:sz w:val="21"/>
                <w:szCs w:val="21"/>
                <w:lang w:val="en-US" w:eastAsia="zh-CN"/>
              </w:rPr>
              <w:t>4</w:t>
            </w:r>
            <w:r>
              <w:rPr>
                <w:rFonts w:hint="eastAsia" w:ascii="方正仿宋_GBK" w:hAnsi="方正仿宋_GBK" w:eastAsia="方正仿宋_GBK" w:cs="方正仿宋_GBK"/>
                <w:b/>
                <w:bCs w:val="0"/>
                <w:color w:val="auto"/>
                <w:sz w:val="21"/>
                <w:szCs w:val="21"/>
              </w:rPr>
              <w:t>分)：</w:t>
            </w:r>
            <w:r>
              <w:rPr>
                <w:rFonts w:hint="eastAsia" w:ascii="方正仿宋_GBK" w:hAnsi="方正仿宋_GBK" w:eastAsia="方正仿宋_GBK" w:cs="方正仿宋_GBK"/>
                <w:b w:val="0"/>
                <w:bCs/>
                <w:color w:val="auto"/>
                <w:sz w:val="21"/>
                <w:szCs w:val="21"/>
              </w:rPr>
              <w:t>项目负责人为</w:t>
            </w:r>
            <w:r>
              <w:rPr>
                <w:rFonts w:hint="eastAsia" w:ascii="方正仿宋_GBK" w:hAnsi="方正仿宋_GBK" w:eastAsia="方正仿宋_GBK" w:cs="方正仿宋_GBK"/>
                <w:b w:val="0"/>
                <w:bCs/>
                <w:color w:val="auto"/>
                <w:sz w:val="21"/>
                <w:szCs w:val="21"/>
                <w:lang w:eastAsia="zh-CN"/>
              </w:rPr>
              <w:t>审计业务</w:t>
            </w:r>
            <w:r>
              <w:rPr>
                <w:rFonts w:hint="eastAsia" w:ascii="方正仿宋_GBK" w:hAnsi="方正仿宋_GBK" w:eastAsia="方正仿宋_GBK" w:cs="方正仿宋_GBK"/>
                <w:b w:val="0"/>
                <w:bCs/>
                <w:color w:val="auto"/>
                <w:sz w:val="21"/>
                <w:szCs w:val="21"/>
              </w:rPr>
              <w:t>总监，</w:t>
            </w:r>
            <w:r>
              <w:rPr>
                <w:rFonts w:hint="eastAsia" w:ascii="方正仿宋_GBK" w:hAnsi="方正仿宋_GBK" w:eastAsia="方正仿宋_GBK" w:cs="方正仿宋_GBK"/>
                <w:b w:val="0"/>
                <w:bCs/>
                <w:color w:val="auto"/>
                <w:sz w:val="21"/>
                <w:szCs w:val="21"/>
                <w:lang w:eastAsia="zh-CN"/>
              </w:rPr>
              <w:t>得</w:t>
            </w:r>
            <w:r>
              <w:rPr>
                <w:rFonts w:hint="eastAsia" w:ascii="方正仿宋_GBK" w:hAnsi="方正仿宋_GBK" w:eastAsia="方正仿宋_GBK" w:cs="方正仿宋_GBK"/>
                <w:b w:val="0"/>
                <w:bCs/>
                <w:color w:val="auto"/>
                <w:sz w:val="21"/>
                <w:szCs w:val="21"/>
                <w:lang w:val="en-US" w:eastAsia="zh-CN"/>
              </w:rPr>
              <w:t>1分，若</w:t>
            </w:r>
            <w:r>
              <w:rPr>
                <w:rFonts w:hint="eastAsia" w:ascii="方正仿宋_GBK" w:hAnsi="方正仿宋_GBK" w:eastAsia="方正仿宋_GBK" w:cs="方正仿宋_GBK"/>
                <w:b w:val="0"/>
                <w:bCs/>
                <w:color w:val="auto"/>
                <w:sz w:val="21"/>
                <w:szCs w:val="21"/>
                <w:lang w:eastAsia="zh-CN"/>
              </w:rPr>
              <w:t>持</w:t>
            </w:r>
            <w:r>
              <w:rPr>
                <w:rFonts w:hint="eastAsia" w:ascii="方正仿宋_GBK" w:hAnsi="方正仿宋_GBK" w:eastAsia="方正仿宋_GBK" w:cs="方正仿宋_GBK"/>
                <w:b w:val="0"/>
                <w:bCs/>
                <w:color w:val="auto"/>
                <w:sz w:val="21"/>
                <w:szCs w:val="21"/>
              </w:rPr>
              <w:t>有CPA、CIA证书</w:t>
            </w:r>
            <w:r>
              <w:rPr>
                <w:rFonts w:hint="eastAsia" w:ascii="方正仿宋_GBK" w:hAnsi="方正仿宋_GBK" w:eastAsia="方正仿宋_GBK" w:cs="方正仿宋_GBK"/>
                <w:b w:val="0"/>
                <w:bCs/>
                <w:color w:val="auto"/>
                <w:sz w:val="21"/>
                <w:szCs w:val="21"/>
                <w:lang w:eastAsia="zh-CN"/>
              </w:rPr>
              <w:t>，分别可得</w:t>
            </w:r>
            <w:r>
              <w:rPr>
                <w:rFonts w:hint="eastAsia" w:ascii="方正仿宋_GBK" w:hAnsi="方正仿宋_GBK" w:eastAsia="方正仿宋_GBK" w:cs="方正仿宋_GBK"/>
                <w:b w:val="0"/>
                <w:bCs/>
                <w:color w:val="auto"/>
                <w:sz w:val="21"/>
                <w:szCs w:val="21"/>
                <w:lang w:val="en-US" w:eastAsia="zh-CN"/>
              </w:rPr>
              <w:t>3分、2分，最高得4分</w:t>
            </w:r>
            <w:r>
              <w:rPr>
                <w:rFonts w:hint="eastAsia" w:ascii="方正仿宋_GBK" w:hAnsi="方正仿宋_GBK" w:eastAsia="方正仿宋_GBK" w:cs="方正仿宋_GBK"/>
                <w:b w:val="0"/>
                <w:bCs/>
                <w:color w:val="auto"/>
                <w:sz w:val="21"/>
                <w:szCs w:val="21"/>
              </w:rPr>
              <w:t>。</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方正仿宋_GBK" w:hAnsi="方正仿宋_GBK" w:eastAsia="方正仿宋_GBK" w:cs="方正仿宋_GBK"/>
                <w:b w:val="0"/>
                <w:bCs/>
                <w:color w:val="auto"/>
                <w:sz w:val="21"/>
                <w:szCs w:val="21"/>
              </w:rPr>
            </w:pPr>
            <w:r>
              <w:rPr>
                <w:rFonts w:hint="eastAsia" w:ascii="方正仿宋_GBK" w:hAnsi="方正仿宋_GBK" w:eastAsia="方正仿宋_GBK" w:cs="方正仿宋_GBK"/>
                <w:b/>
                <w:bCs w:val="0"/>
                <w:color w:val="auto"/>
                <w:sz w:val="21"/>
                <w:szCs w:val="21"/>
                <w:lang w:val="en-US" w:eastAsia="zh-CN"/>
              </w:rPr>
              <w:t>2.</w:t>
            </w:r>
            <w:r>
              <w:rPr>
                <w:rFonts w:hint="eastAsia" w:ascii="方正仿宋_GBK" w:hAnsi="方正仿宋_GBK" w:eastAsia="方正仿宋_GBK" w:cs="方正仿宋_GBK"/>
                <w:b/>
                <w:bCs w:val="0"/>
                <w:color w:val="auto"/>
                <w:sz w:val="21"/>
                <w:szCs w:val="21"/>
              </w:rPr>
              <w:t>拟派人员数量（</w:t>
            </w:r>
            <w:r>
              <w:rPr>
                <w:rFonts w:hint="eastAsia" w:ascii="方正仿宋_GBK" w:hAnsi="方正仿宋_GBK" w:eastAsia="方正仿宋_GBK" w:cs="方正仿宋_GBK"/>
                <w:b/>
                <w:bCs w:val="0"/>
                <w:color w:val="auto"/>
                <w:sz w:val="21"/>
                <w:szCs w:val="21"/>
                <w:lang w:val="en-US" w:eastAsia="zh-CN"/>
              </w:rPr>
              <w:t>3</w:t>
            </w:r>
            <w:r>
              <w:rPr>
                <w:rFonts w:hint="eastAsia" w:ascii="方正仿宋_GBK" w:hAnsi="方正仿宋_GBK" w:eastAsia="方正仿宋_GBK" w:cs="方正仿宋_GBK"/>
                <w:b/>
                <w:bCs w:val="0"/>
                <w:color w:val="auto"/>
                <w:sz w:val="21"/>
                <w:szCs w:val="21"/>
              </w:rPr>
              <w:t>分）：</w:t>
            </w:r>
            <w:r>
              <w:rPr>
                <w:rFonts w:hint="eastAsia" w:ascii="方正仿宋_GBK" w:hAnsi="方正仿宋_GBK" w:eastAsia="方正仿宋_GBK" w:cs="方正仿宋_GBK"/>
                <w:b/>
                <w:bCs w:val="0"/>
                <w:color w:val="auto"/>
                <w:sz w:val="21"/>
                <w:szCs w:val="21"/>
                <w:lang w:val="en-US" w:eastAsia="zh-CN"/>
              </w:rPr>
              <w:t>根据</w:t>
            </w:r>
            <w:r>
              <w:rPr>
                <w:rFonts w:hint="eastAsia" w:ascii="方正仿宋_GBK" w:hAnsi="方正仿宋_GBK" w:eastAsia="方正仿宋_GBK" w:cs="方正仿宋_GBK"/>
                <w:b w:val="0"/>
                <w:bCs/>
                <w:color w:val="auto"/>
                <w:sz w:val="21"/>
                <w:szCs w:val="21"/>
              </w:rPr>
              <w:t>各投标人</w:t>
            </w:r>
            <w:r>
              <w:rPr>
                <w:rFonts w:hint="eastAsia" w:ascii="方正仿宋_GBK" w:hAnsi="方正仿宋_GBK" w:eastAsia="方正仿宋_GBK" w:cs="方正仿宋_GBK"/>
                <w:b/>
                <w:bCs w:val="0"/>
                <w:color w:val="auto"/>
                <w:sz w:val="21"/>
                <w:szCs w:val="21"/>
              </w:rPr>
              <w:t>人员</w:t>
            </w:r>
            <w:r>
              <w:rPr>
                <w:rFonts w:hint="eastAsia" w:ascii="方正仿宋_GBK" w:hAnsi="方正仿宋_GBK" w:eastAsia="方正仿宋_GBK" w:cs="方正仿宋_GBK"/>
                <w:b/>
                <w:bCs w:val="0"/>
                <w:color w:val="auto"/>
                <w:sz w:val="21"/>
                <w:szCs w:val="21"/>
                <w:lang w:val="en-US" w:eastAsia="zh-CN"/>
              </w:rPr>
              <w:t>总数</w:t>
            </w:r>
            <w:r>
              <w:rPr>
                <w:rFonts w:hint="eastAsia" w:ascii="方正仿宋_GBK" w:hAnsi="方正仿宋_GBK" w:eastAsia="方正仿宋_GBK" w:cs="方正仿宋_GBK"/>
                <w:b w:val="0"/>
                <w:bCs/>
                <w:color w:val="auto"/>
                <w:sz w:val="21"/>
                <w:szCs w:val="21"/>
              </w:rPr>
              <w:t>进行横向比较</w:t>
            </w:r>
            <w:r>
              <w:rPr>
                <w:rFonts w:hint="eastAsia" w:ascii="方正仿宋_GBK" w:hAnsi="方正仿宋_GBK" w:eastAsia="方正仿宋_GBK" w:cs="方正仿宋_GBK"/>
                <w:b w:val="0"/>
                <w:bCs/>
                <w:color w:val="auto"/>
                <w:sz w:val="21"/>
                <w:szCs w:val="21"/>
                <w:lang w:eastAsia="zh-CN"/>
              </w:rPr>
              <w:t>，</w:t>
            </w:r>
            <w:r>
              <w:rPr>
                <w:rFonts w:hint="eastAsia" w:ascii="方正仿宋_GBK" w:hAnsi="方正仿宋_GBK" w:eastAsia="方正仿宋_GBK" w:cs="方正仿宋_GBK"/>
                <w:b w:val="0"/>
                <w:bCs/>
                <w:color w:val="auto"/>
                <w:sz w:val="21"/>
                <w:szCs w:val="21"/>
              </w:rPr>
              <w:t>排名第</w:t>
            </w:r>
            <w:r>
              <w:rPr>
                <w:rFonts w:hint="eastAsia" w:ascii="方正仿宋_GBK" w:hAnsi="方正仿宋_GBK" w:eastAsia="方正仿宋_GBK" w:cs="方正仿宋_GBK"/>
                <w:b w:val="0"/>
                <w:bCs/>
                <w:color w:val="auto"/>
                <w:sz w:val="21"/>
                <w:szCs w:val="21"/>
                <w:lang w:val="en-US" w:eastAsia="zh-CN"/>
              </w:rPr>
              <w:t>1</w:t>
            </w:r>
            <w:r>
              <w:rPr>
                <w:rFonts w:hint="eastAsia" w:ascii="方正仿宋_GBK" w:hAnsi="方正仿宋_GBK" w:eastAsia="方正仿宋_GBK" w:cs="方正仿宋_GBK"/>
                <w:b w:val="0"/>
                <w:bCs/>
                <w:color w:val="auto"/>
                <w:sz w:val="21"/>
                <w:szCs w:val="21"/>
              </w:rPr>
              <w:t>名</w:t>
            </w:r>
            <w:r>
              <w:rPr>
                <w:rFonts w:hint="eastAsia" w:ascii="方正仿宋_GBK" w:hAnsi="方正仿宋_GBK" w:eastAsia="方正仿宋_GBK" w:cs="方正仿宋_GBK"/>
                <w:b w:val="0"/>
                <w:bCs/>
                <w:color w:val="auto"/>
                <w:sz w:val="21"/>
                <w:szCs w:val="21"/>
                <w:lang w:val="en-US" w:eastAsia="zh-CN"/>
              </w:rPr>
              <w:t>3</w:t>
            </w:r>
            <w:r>
              <w:rPr>
                <w:rFonts w:hint="eastAsia" w:ascii="方正仿宋_GBK" w:hAnsi="方正仿宋_GBK" w:eastAsia="方正仿宋_GBK" w:cs="方正仿宋_GBK"/>
                <w:b w:val="0"/>
                <w:bCs/>
                <w:color w:val="auto"/>
                <w:sz w:val="21"/>
                <w:szCs w:val="21"/>
              </w:rPr>
              <w:t>分，第</w:t>
            </w:r>
            <w:r>
              <w:rPr>
                <w:rFonts w:hint="eastAsia" w:ascii="方正仿宋_GBK" w:hAnsi="方正仿宋_GBK" w:eastAsia="方正仿宋_GBK" w:cs="方正仿宋_GBK"/>
                <w:b w:val="0"/>
                <w:bCs/>
                <w:color w:val="auto"/>
                <w:sz w:val="21"/>
                <w:szCs w:val="21"/>
                <w:lang w:val="en-US" w:eastAsia="zh-CN"/>
              </w:rPr>
              <w:t>2</w:t>
            </w:r>
            <w:r>
              <w:rPr>
                <w:rFonts w:hint="eastAsia" w:ascii="方正仿宋_GBK" w:hAnsi="方正仿宋_GBK" w:eastAsia="方正仿宋_GBK" w:cs="方正仿宋_GBK"/>
                <w:b w:val="0"/>
                <w:bCs/>
                <w:color w:val="auto"/>
                <w:sz w:val="21"/>
                <w:szCs w:val="21"/>
              </w:rPr>
              <w:t>名</w:t>
            </w:r>
            <w:r>
              <w:rPr>
                <w:rFonts w:hint="eastAsia" w:ascii="方正仿宋_GBK" w:hAnsi="方正仿宋_GBK" w:eastAsia="方正仿宋_GBK" w:cs="方正仿宋_GBK"/>
                <w:b w:val="0"/>
                <w:bCs/>
                <w:color w:val="auto"/>
                <w:sz w:val="21"/>
                <w:szCs w:val="21"/>
                <w:lang w:val="en-US" w:eastAsia="zh-CN"/>
              </w:rPr>
              <w:t>2</w:t>
            </w:r>
            <w:r>
              <w:rPr>
                <w:rFonts w:hint="eastAsia" w:ascii="方正仿宋_GBK" w:hAnsi="方正仿宋_GBK" w:eastAsia="方正仿宋_GBK" w:cs="方正仿宋_GBK"/>
                <w:b w:val="0"/>
                <w:bCs/>
                <w:color w:val="auto"/>
                <w:sz w:val="21"/>
                <w:szCs w:val="21"/>
              </w:rPr>
              <w:t>分，第</w:t>
            </w:r>
            <w:r>
              <w:rPr>
                <w:rFonts w:hint="eastAsia" w:ascii="方正仿宋_GBK" w:hAnsi="方正仿宋_GBK" w:eastAsia="方正仿宋_GBK" w:cs="方正仿宋_GBK"/>
                <w:b w:val="0"/>
                <w:bCs/>
                <w:color w:val="auto"/>
                <w:sz w:val="21"/>
                <w:szCs w:val="21"/>
                <w:lang w:val="en-US" w:eastAsia="zh-CN"/>
              </w:rPr>
              <w:t>3</w:t>
            </w:r>
            <w:r>
              <w:rPr>
                <w:rFonts w:hint="eastAsia" w:ascii="方正仿宋_GBK" w:hAnsi="方正仿宋_GBK" w:eastAsia="方正仿宋_GBK" w:cs="方正仿宋_GBK"/>
                <w:b w:val="0"/>
                <w:bCs/>
                <w:color w:val="auto"/>
                <w:sz w:val="21"/>
                <w:szCs w:val="21"/>
              </w:rPr>
              <w:t>名</w:t>
            </w:r>
            <w:r>
              <w:rPr>
                <w:rFonts w:hint="eastAsia" w:ascii="方正仿宋_GBK" w:hAnsi="方正仿宋_GBK" w:eastAsia="方正仿宋_GBK" w:cs="方正仿宋_GBK"/>
                <w:b w:val="0"/>
                <w:bCs/>
                <w:color w:val="auto"/>
                <w:sz w:val="21"/>
                <w:szCs w:val="21"/>
                <w:lang w:val="en-US" w:eastAsia="zh-CN"/>
              </w:rPr>
              <w:t>及</w:t>
            </w:r>
            <w:r>
              <w:rPr>
                <w:rFonts w:hint="eastAsia" w:ascii="方正仿宋_GBK" w:hAnsi="方正仿宋_GBK" w:eastAsia="方正仿宋_GBK" w:cs="方正仿宋_GBK"/>
                <w:b w:val="0"/>
                <w:bCs/>
                <w:color w:val="auto"/>
                <w:sz w:val="21"/>
                <w:szCs w:val="21"/>
              </w:rPr>
              <w:t>以后</w:t>
            </w:r>
            <w:r>
              <w:rPr>
                <w:rFonts w:hint="eastAsia" w:ascii="方正仿宋_GBK" w:hAnsi="方正仿宋_GBK" w:eastAsia="方正仿宋_GBK" w:cs="方正仿宋_GBK"/>
                <w:b w:val="0"/>
                <w:bCs/>
                <w:color w:val="auto"/>
                <w:sz w:val="21"/>
                <w:szCs w:val="21"/>
                <w:lang w:val="en-US" w:eastAsia="zh-CN"/>
              </w:rPr>
              <w:t>1</w:t>
            </w:r>
            <w:r>
              <w:rPr>
                <w:rFonts w:hint="eastAsia" w:ascii="方正仿宋_GBK" w:hAnsi="方正仿宋_GBK" w:eastAsia="方正仿宋_GBK" w:cs="方正仿宋_GBK"/>
                <w:b w:val="0"/>
                <w:bCs/>
                <w:color w:val="auto"/>
                <w:sz w:val="21"/>
                <w:szCs w:val="21"/>
              </w:rPr>
              <w:t>分。</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方正仿宋_GBK" w:hAnsi="方正仿宋_GBK" w:eastAsia="方正仿宋_GBK" w:cs="方正仿宋_GBK"/>
                <w:b w:val="0"/>
                <w:bCs/>
                <w:color w:val="auto"/>
                <w:sz w:val="21"/>
                <w:szCs w:val="21"/>
                <w:lang w:val="en-US" w:eastAsia="zh-CN"/>
              </w:rPr>
            </w:pPr>
            <w:r>
              <w:rPr>
                <w:rFonts w:hint="eastAsia" w:ascii="方正仿宋_GBK" w:hAnsi="方正仿宋_GBK" w:eastAsia="方正仿宋_GBK" w:cs="方正仿宋_GBK"/>
                <w:b/>
                <w:bCs w:val="0"/>
                <w:color w:val="auto"/>
                <w:sz w:val="21"/>
                <w:szCs w:val="21"/>
                <w:lang w:val="en-US" w:eastAsia="zh-CN"/>
              </w:rPr>
              <w:t>3.</w:t>
            </w:r>
            <w:r>
              <w:rPr>
                <w:rFonts w:hint="eastAsia" w:ascii="方正仿宋_GBK" w:hAnsi="方正仿宋_GBK" w:eastAsia="方正仿宋_GBK" w:cs="方正仿宋_GBK"/>
                <w:b/>
                <w:bCs w:val="0"/>
                <w:color w:val="auto"/>
                <w:sz w:val="21"/>
                <w:szCs w:val="21"/>
              </w:rPr>
              <w:t>拟派人员</w:t>
            </w:r>
            <w:r>
              <w:rPr>
                <w:rFonts w:hint="eastAsia" w:ascii="方正仿宋_GBK" w:hAnsi="方正仿宋_GBK" w:eastAsia="方正仿宋_GBK" w:cs="方正仿宋_GBK"/>
                <w:b/>
                <w:bCs w:val="0"/>
                <w:color w:val="auto"/>
                <w:sz w:val="21"/>
                <w:szCs w:val="21"/>
                <w:lang w:eastAsia="zh-CN"/>
              </w:rPr>
              <w:t>质量</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val="en-US" w:eastAsia="zh-CN"/>
              </w:rPr>
              <w:t>8</w:t>
            </w:r>
            <w:r>
              <w:rPr>
                <w:rFonts w:hint="eastAsia" w:ascii="方正仿宋_GBK" w:hAnsi="方正仿宋_GBK" w:eastAsia="方正仿宋_GBK" w:cs="方正仿宋_GBK"/>
                <w:b/>
                <w:bCs w:val="0"/>
                <w:color w:val="auto"/>
                <w:sz w:val="21"/>
                <w:szCs w:val="21"/>
              </w:rPr>
              <w:t>分）：</w:t>
            </w:r>
            <w:r>
              <w:rPr>
                <w:rFonts w:hint="eastAsia" w:ascii="方正仿宋_GBK" w:hAnsi="方正仿宋_GBK" w:eastAsia="方正仿宋_GBK" w:cs="方正仿宋_GBK"/>
                <w:b w:val="0"/>
                <w:bCs/>
                <w:color w:val="auto"/>
                <w:sz w:val="21"/>
                <w:szCs w:val="21"/>
                <w:lang w:eastAsia="zh-CN"/>
              </w:rPr>
              <w:t>工作人员中，</w:t>
            </w:r>
            <w:r>
              <w:rPr>
                <w:rFonts w:hint="eastAsia" w:ascii="方正仿宋_GBK" w:hAnsi="方正仿宋_GBK" w:eastAsia="方正仿宋_GBK" w:cs="方正仿宋_GBK"/>
                <w:b w:val="0"/>
                <w:bCs/>
                <w:color w:val="auto"/>
                <w:sz w:val="21"/>
                <w:szCs w:val="21"/>
                <w:lang w:val="en-US" w:eastAsia="zh-CN"/>
              </w:rPr>
              <w:t>若持有</w:t>
            </w:r>
            <w:r>
              <w:rPr>
                <w:rFonts w:hint="eastAsia" w:ascii="方正仿宋_GBK" w:hAnsi="方正仿宋_GBK" w:eastAsia="方正仿宋_GBK" w:cs="方正仿宋_GBK"/>
                <w:b w:val="0"/>
                <w:bCs/>
                <w:color w:val="auto"/>
                <w:sz w:val="21"/>
                <w:szCs w:val="21"/>
              </w:rPr>
              <w:t>CPA、CIA证书</w:t>
            </w:r>
            <w:r>
              <w:rPr>
                <w:rFonts w:hint="eastAsia" w:ascii="方正仿宋_GBK" w:hAnsi="方正仿宋_GBK" w:eastAsia="方正仿宋_GBK" w:cs="方正仿宋_GBK"/>
                <w:b w:val="0"/>
                <w:bCs/>
                <w:color w:val="auto"/>
                <w:sz w:val="21"/>
                <w:szCs w:val="21"/>
                <w:lang w:val="en-US" w:eastAsia="zh-CN"/>
              </w:rPr>
              <w:t>每人分别</w:t>
            </w:r>
            <w:r>
              <w:rPr>
                <w:rFonts w:hint="eastAsia" w:ascii="方正仿宋_GBK" w:hAnsi="方正仿宋_GBK" w:eastAsia="方正仿宋_GBK" w:cs="方正仿宋_GBK"/>
                <w:b w:val="0"/>
                <w:bCs/>
                <w:color w:val="auto"/>
                <w:sz w:val="21"/>
                <w:szCs w:val="21"/>
                <w:lang w:eastAsia="zh-CN"/>
              </w:rPr>
              <w:t>可得</w:t>
            </w:r>
            <w:r>
              <w:rPr>
                <w:rFonts w:hint="eastAsia" w:ascii="方正仿宋_GBK" w:hAnsi="方正仿宋_GBK" w:eastAsia="方正仿宋_GBK" w:cs="方正仿宋_GBK"/>
                <w:b w:val="0"/>
                <w:bCs/>
                <w:color w:val="auto"/>
                <w:sz w:val="21"/>
                <w:szCs w:val="21"/>
                <w:lang w:val="en-US" w:eastAsia="zh-CN"/>
              </w:rPr>
              <w:t>3分、2分</w:t>
            </w:r>
            <w:r>
              <w:rPr>
                <w:rStyle w:val="50"/>
                <w:rFonts w:hint="eastAsia" w:ascii="方正仿宋_GBK" w:hAnsi="方正仿宋_GBK" w:eastAsia="方正仿宋_GBK" w:cs="方正仿宋_GBK"/>
                <w:b w:val="0"/>
                <w:bCs/>
                <w:color w:val="auto"/>
                <w:sz w:val="21"/>
                <w:szCs w:val="21"/>
                <w:highlight w:val="none"/>
                <w:u w:val="none"/>
              </w:rPr>
              <w:t>（同一人同时满足以上条件的取最高分）</w:t>
            </w:r>
            <w:r>
              <w:rPr>
                <w:rStyle w:val="50"/>
                <w:rFonts w:hint="eastAsia" w:ascii="方正仿宋_GBK" w:hAnsi="方正仿宋_GBK" w:eastAsia="方正仿宋_GBK" w:cs="方正仿宋_GBK"/>
                <w:b w:val="0"/>
                <w:bCs/>
                <w:color w:val="auto"/>
                <w:sz w:val="21"/>
                <w:szCs w:val="21"/>
                <w:highlight w:val="none"/>
                <w:u w:val="none"/>
                <w:lang w:eastAsia="zh-CN"/>
              </w:rPr>
              <w:t>，</w:t>
            </w:r>
            <w:r>
              <w:rPr>
                <w:rFonts w:hint="eastAsia" w:ascii="方正仿宋_GBK" w:hAnsi="方正仿宋_GBK" w:eastAsia="方正仿宋_GBK" w:cs="方正仿宋_GBK"/>
                <w:b w:val="0"/>
                <w:bCs/>
                <w:color w:val="auto"/>
                <w:sz w:val="21"/>
                <w:szCs w:val="21"/>
                <w:lang w:eastAsia="zh-CN"/>
              </w:rPr>
              <w:t>本项最高</w:t>
            </w:r>
            <w:r>
              <w:rPr>
                <w:rFonts w:hint="eastAsia" w:ascii="方正仿宋_GBK" w:hAnsi="方正仿宋_GBK" w:eastAsia="方正仿宋_GBK" w:cs="方正仿宋_GBK"/>
                <w:b w:val="0"/>
                <w:bCs/>
                <w:color w:val="auto"/>
                <w:sz w:val="21"/>
                <w:szCs w:val="21"/>
                <w:lang w:val="en-US" w:eastAsia="zh-CN"/>
              </w:rPr>
              <w:t>8分。</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Chars="0"/>
              <w:jc w:val="both"/>
              <w:textAlignment w:val="auto"/>
              <w:rPr>
                <w:rFonts w:hint="default" w:ascii="方正仿宋_GBK" w:hAnsi="方正仿宋_GBK" w:eastAsia="方正仿宋_GBK" w:cs="方正仿宋_GBK"/>
                <w:b w:val="0"/>
                <w:bCs/>
                <w:color w:val="auto"/>
                <w:szCs w:val="21"/>
                <w:lang w:val="en-US"/>
              </w:rPr>
            </w:pPr>
            <w:r>
              <w:rPr>
                <w:rFonts w:hint="eastAsia" w:ascii="方正仿宋_GBK" w:hAnsi="方正仿宋_GBK" w:eastAsia="方正仿宋_GBK" w:cs="方正仿宋_GBK"/>
                <w:b w:val="0"/>
                <w:bCs/>
                <w:color w:val="auto"/>
                <w:kern w:val="2"/>
                <w:sz w:val="21"/>
                <w:szCs w:val="21"/>
                <w:lang w:val="en-US" w:eastAsia="zh-CN" w:bidi="ar-SA"/>
              </w:rPr>
              <w:t>注：需提供项目负责人职务任命书或聘书或工作证明，拟派人员一览表，工作人员</w:t>
            </w:r>
            <w:r>
              <w:rPr>
                <w:rFonts w:hint="eastAsia" w:ascii="方正仿宋_GBK" w:hAnsi="方正仿宋_GBK" w:eastAsia="方正仿宋_GBK" w:cs="方正仿宋_GBK"/>
                <w:b w:val="0"/>
                <w:bCs/>
                <w:color w:val="auto"/>
                <w:sz w:val="21"/>
                <w:szCs w:val="21"/>
              </w:rPr>
              <w:t>CPA、CIA证书</w:t>
            </w:r>
            <w:r>
              <w:rPr>
                <w:rFonts w:hint="eastAsia" w:ascii="方正仿宋_GBK" w:hAnsi="方正仿宋_GBK" w:eastAsia="方正仿宋_GBK" w:cs="方正仿宋_GBK"/>
                <w:b w:val="0"/>
                <w:bCs/>
                <w:color w:val="auto"/>
                <w:sz w:val="21"/>
                <w:szCs w:val="21"/>
                <w:lang w:eastAsia="zh-CN"/>
              </w:rPr>
              <w:t>复印件，</w:t>
            </w:r>
            <w:r>
              <w:rPr>
                <w:rFonts w:hint="eastAsia" w:ascii="方正仿宋_GBK" w:hAnsi="方正仿宋_GBK" w:eastAsia="方正仿宋_GBK" w:cs="方正仿宋_GBK"/>
                <w:b w:val="0"/>
                <w:bCs/>
                <w:color w:val="auto"/>
                <w:kern w:val="2"/>
                <w:sz w:val="21"/>
                <w:szCs w:val="21"/>
                <w:lang w:val="en-US" w:eastAsia="zh-CN" w:bidi="ar-SA"/>
              </w:rPr>
              <w:t>不提供则不得分。</w:t>
            </w:r>
          </w:p>
        </w:tc>
      </w:tr>
      <w:tr>
        <w:tblPrEx>
          <w:tblCellMar>
            <w:top w:w="0" w:type="dxa"/>
            <w:left w:w="108" w:type="dxa"/>
            <w:bottom w:w="0" w:type="dxa"/>
            <w:right w:w="108" w:type="dxa"/>
          </w:tblCellMar>
        </w:tblPrEx>
        <w:trPr>
          <w:trHeight w:val="896" w:hRule="atLeast"/>
        </w:trPr>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eastAsia="zh-CN"/>
              </w:rPr>
              <w:t>报价</w:t>
            </w:r>
          </w:p>
        </w:tc>
        <w:tc>
          <w:tcPr>
            <w:tcW w:w="8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val="en-US" w:eastAsia="zh-CN"/>
              </w:rPr>
              <w:t>15</w:t>
            </w:r>
            <w:r>
              <w:rPr>
                <w:rFonts w:hint="eastAsia" w:ascii="方正仿宋_GBK" w:hAnsi="方正仿宋_GBK" w:eastAsia="方正仿宋_GBK" w:cs="方正仿宋_GBK"/>
                <w:b/>
                <w:kern w:val="0"/>
                <w:sz w:val="21"/>
                <w:szCs w:val="21"/>
              </w:rPr>
              <w:t>分</w:t>
            </w:r>
          </w:p>
        </w:tc>
        <w:tc>
          <w:tcPr>
            <w:tcW w:w="78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投标人价格得分的计算:</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50"/>
                <w:rFonts w:hint="eastAsia" w:ascii="方正仿宋_GBK" w:hAnsi="方正仿宋_GBK" w:eastAsia="方正仿宋_GBK" w:cs="方正仿宋_GBK"/>
                <w:bCs/>
                <w:color w:val="auto"/>
                <w:szCs w:val="21"/>
                <w:highlight w:val="none"/>
                <w:u w:val="none"/>
              </w:rPr>
            </w:pPr>
            <w:r>
              <w:rPr>
                <w:rFonts w:hint="eastAsia" w:ascii="方正仿宋_GBK" w:hAnsi="方正仿宋_GBK" w:eastAsia="方正仿宋_GBK" w:cs="方正仿宋_GBK"/>
                <w:b/>
                <w:bCs/>
                <w:color w:val="000000"/>
                <w:kern w:val="0"/>
                <w:szCs w:val="21"/>
                <w:lang w:val="en-US" w:eastAsia="zh-CN" w:bidi="ar"/>
              </w:rPr>
              <w:t>1.</w:t>
            </w:r>
            <w:r>
              <w:rPr>
                <w:rFonts w:hint="eastAsia" w:ascii="方正仿宋_GBK" w:hAnsi="方正仿宋_GBK" w:eastAsia="方正仿宋_GBK" w:cs="方正仿宋_GBK"/>
                <w:b/>
                <w:bCs/>
                <w:color w:val="000000"/>
                <w:kern w:val="0"/>
                <w:szCs w:val="21"/>
                <w:lang w:bidi="ar"/>
              </w:rPr>
              <w:t>平均价=所有供应商报价的算术平均值。</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投标人投标价高于平均价</w:t>
            </w:r>
            <w:r>
              <w:rPr>
                <w:rFonts w:hint="eastAsia" w:ascii="方正仿宋_GBK" w:hAnsi="方正仿宋_GBK" w:eastAsia="方正仿宋_GBK" w:cs="方正仿宋_GBK"/>
                <w:color w:val="000000"/>
                <w:kern w:val="0"/>
                <w:szCs w:val="21"/>
                <w:lang w:val="en-US" w:eastAsia="zh-CN" w:bidi="ar"/>
              </w:rPr>
              <w:t>50</w:t>
            </w:r>
            <w:r>
              <w:rPr>
                <w:rFonts w:hint="eastAsia" w:ascii="方正仿宋_GBK" w:hAnsi="方正仿宋_GBK" w:eastAsia="方正仿宋_GBK" w:cs="方正仿宋_GBK"/>
                <w:color w:val="000000"/>
                <w:kern w:val="0"/>
                <w:szCs w:val="21"/>
                <w:lang w:bidi="ar"/>
              </w:rPr>
              <w:t>%的，称为高价投标人。高价投标人的报价不参加基准价的计算。</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投标人投标价低于平均价</w:t>
            </w:r>
            <w:r>
              <w:rPr>
                <w:rFonts w:hint="eastAsia" w:ascii="方正仿宋_GBK" w:hAnsi="方正仿宋_GBK" w:eastAsia="方正仿宋_GBK" w:cs="方正仿宋_GBK"/>
                <w:color w:val="000000"/>
                <w:kern w:val="0"/>
                <w:szCs w:val="21"/>
                <w:lang w:val="en-US" w:eastAsia="zh-CN" w:bidi="ar"/>
              </w:rPr>
              <w:t>50</w:t>
            </w:r>
            <w:r>
              <w:rPr>
                <w:rFonts w:hint="eastAsia" w:ascii="方正仿宋_GBK" w:hAnsi="方正仿宋_GBK" w:eastAsia="方正仿宋_GBK" w:cs="方正仿宋_GBK"/>
                <w:color w:val="000000"/>
                <w:kern w:val="0"/>
                <w:szCs w:val="21"/>
                <w:lang w:bidi="ar"/>
              </w:rPr>
              <w:t>%的，称为低价投标人。低价投标人的报价不参加基准价的计算。</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除了高价投标人、低价投标人之外的其他投标人称为正常价投标人</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val="en-US" w:eastAsia="zh-CN" w:bidi="ar"/>
              </w:rPr>
              <w:t>2.</w:t>
            </w:r>
            <w:r>
              <w:rPr>
                <w:rFonts w:hint="eastAsia" w:ascii="方正仿宋_GBK" w:hAnsi="方正仿宋_GBK" w:eastAsia="方正仿宋_GBK" w:cs="方正仿宋_GBK"/>
                <w:color w:val="000000"/>
                <w:kern w:val="0"/>
                <w:szCs w:val="21"/>
                <w:lang w:bidi="ar"/>
              </w:rPr>
              <w:t>基准价=所有正常价投标人的投标价格的算术平均值；</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如果排除高价投标人和低价投标人后没有正常价投标人，则基准价=所有服务提供商的算术平均值；</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50"/>
                <w:rFonts w:hint="default" w:ascii="方正仿宋_GBK" w:hAnsi="方正仿宋_GBK" w:eastAsia="方正仿宋_GBK" w:cs="方正仿宋_GBK"/>
                <w:bCs/>
                <w:color w:val="auto"/>
                <w:szCs w:val="21"/>
                <w:highlight w:val="none"/>
                <w:u w:val="none"/>
                <w:lang w:val="en-US" w:eastAsia="zh-CN"/>
              </w:rPr>
            </w:pPr>
            <w:r>
              <w:rPr>
                <w:rStyle w:val="50"/>
                <w:rFonts w:hint="eastAsia" w:ascii="方正仿宋_GBK" w:hAnsi="方正仿宋_GBK" w:eastAsia="方正仿宋_GBK" w:cs="方正仿宋_GBK"/>
                <w:bCs/>
                <w:color w:val="auto"/>
                <w:szCs w:val="21"/>
                <w:highlight w:val="none"/>
                <w:u w:val="none"/>
              </w:rPr>
              <w:t>2.</w:t>
            </w:r>
            <w:r>
              <w:rPr>
                <w:rStyle w:val="50"/>
                <w:rFonts w:hint="eastAsia" w:ascii="方正仿宋_GBK" w:hAnsi="方正仿宋_GBK" w:eastAsia="方正仿宋_GBK" w:cs="方正仿宋_GBK"/>
                <w:bCs/>
                <w:color w:val="auto"/>
                <w:szCs w:val="21"/>
                <w:highlight w:val="none"/>
                <w:u w:val="none"/>
                <w:lang w:val="en-US" w:eastAsia="zh-CN"/>
              </w:rPr>
              <w:t>竞标人</w:t>
            </w:r>
            <w:r>
              <w:rPr>
                <w:rStyle w:val="50"/>
                <w:rFonts w:hint="eastAsia" w:ascii="方正仿宋_GBK" w:hAnsi="方正仿宋_GBK" w:eastAsia="方正仿宋_GBK" w:cs="方正仿宋_GBK"/>
                <w:bCs/>
                <w:color w:val="auto"/>
                <w:szCs w:val="21"/>
                <w:highlight w:val="none"/>
                <w:u w:val="none"/>
              </w:rPr>
              <w:t>报价得分=（1-∣基准价-</w:t>
            </w:r>
            <w:r>
              <w:rPr>
                <w:rStyle w:val="50"/>
                <w:rFonts w:hint="eastAsia" w:ascii="方正仿宋_GBK" w:hAnsi="方正仿宋_GBK" w:eastAsia="方正仿宋_GBK" w:cs="方正仿宋_GBK"/>
                <w:bCs/>
                <w:color w:val="auto"/>
                <w:szCs w:val="21"/>
                <w:highlight w:val="none"/>
                <w:u w:val="none"/>
                <w:lang w:eastAsia="zh-CN"/>
              </w:rPr>
              <w:t>竞标人</w:t>
            </w:r>
            <w:r>
              <w:rPr>
                <w:rStyle w:val="50"/>
                <w:rFonts w:hint="eastAsia" w:ascii="方正仿宋_GBK" w:hAnsi="方正仿宋_GBK" w:eastAsia="方正仿宋_GBK" w:cs="方正仿宋_GBK"/>
                <w:bCs/>
                <w:color w:val="auto"/>
                <w:szCs w:val="21"/>
                <w:highlight w:val="none"/>
                <w:u w:val="none"/>
              </w:rPr>
              <w:t>报价∣/基准价）×</w:t>
            </w:r>
            <w:r>
              <w:rPr>
                <w:rStyle w:val="50"/>
                <w:rFonts w:hint="eastAsia" w:ascii="方正仿宋_GBK" w:hAnsi="方正仿宋_GBK" w:eastAsia="方正仿宋_GBK" w:cs="方正仿宋_GBK"/>
                <w:bCs/>
                <w:color w:val="auto"/>
                <w:szCs w:val="21"/>
                <w:highlight w:val="none"/>
                <w:u w:val="none"/>
                <w:lang w:val="en-US" w:eastAsia="zh-CN"/>
              </w:rPr>
              <w:t>15</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000000"/>
                <w:kern w:val="0"/>
                <w:szCs w:val="21"/>
                <w:highlight w:val="none"/>
                <w:lang w:val="en-US" w:eastAsia="zh-CN"/>
              </w:rPr>
            </w:pPr>
            <w:r>
              <w:rPr>
                <w:rStyle w:val="50"/>
                <w:rFonts w:hint="eastAsia" w:ascii="方正仿宋_GBK" w:hAnsi="方正仿宋_GBK" w:eastAsia="方正仿宋_GBK" w:cs="方正仿宋_GBK"/>
                <w:bCs/>
                <w:color w:val="auto"/>
                <w:szCs w:val="21"/>
                <w:highlight w:val="none"/>
                <w:u w:val="none"/>
              </w:rPr>
              <w:t>注：计算分数时四舍五入取小数点后两位。</w:t>
            </w:r>
          </w:p>
        </w:tc>
      </w:tr>
      <w:tr>
        <w:tblPrEx>
          <w:tblCellMar>
            <w:top w:w="0" w:type="dxa"/>
            <w:left w:w="108" w:type="dxa"/>
            <w:bottom w:w="0" w:type="dxa"/>
            <w:right w:w="108" w:type="dxa"/>
          </w:tblCellMar>
        </w:tblPrEx>
        <w:trPr>
          <w:trHeight w:val="3678" w:hRule="atLeast"/>
        </w:trPr>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eastAsia="zh-CN"/>
              </w:rPr>
            </w:pPr>
            <w:r>
              <w:rPr>
                <w:rFonts w:hint="eastAsia" w:ascii="方正仿宋_GBK" w:hAnsi="方正仿宋_GBK" w:eastAsia="方正仿宋_GBK" w:cs="方正仿宋_GBK"/>
                <w:b/>
                <w:kern w:val="0"/>
                <w:sz w:val="21"/>
                <w:szCs w:val="21"/>
                <w:lang w:eastAsia="zh-CN"/>
              </w:rPr>
              <w:t>工作方案与信息安全管理</w:t>
            </w:r>
          </w:p>
        </w:tc>
        <w:tc>
          <w:tcPr>
            <w:tcW w:w="8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p>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val="en-US" w:eastAsia="zh-CN"/>
              </w:rPr>
              <w:t>20分</w:t>
            </w:r>
          </w:p>
        </w:tc>
        <w:tc>
          <w:tcPr>
            <w:tcW w:w="78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lang w:val="en-US" w:eastAsia="zh-CN"/>
              </w:rPr>
              <w:t>1.</w:t>
            </w:r>
            <w:r>
              <w:rPr>
                <w:rFonts w:hint="eastAsia" w:ascii="方正仿宋_GBK" w:hAnsi="方正仿宋_GBK" w:eastAsia="方正仿宋_GBK" w:cs="方正仿宋_GBK"/>
                <w:bCs/>
                <w:sz w:val="21"/>
                <w:szCs w:val="21"/>
              </w:rPr>
              <w:t>投标人能够严格遵守国家有关信息安全的法律法规，认真落实监管部门对信息安全的监管要求，切实担负起信息安全的主体责任和保密责任。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lang w:val="en-US" w:eastAsia="zh-CN"/>
              </w:rPr>
              <w:t>2.</w:t>
            </w:r>
            <w:r>
              <w:rPr>
                <w:rFonts w:hint="eastAsia" w:ascii="方正仿宋_GBK" w:hAnsi="方正仿宋_GBK" w:eastAsia="方正仿宋_GBK" w:cs="方正仿宋_GBK"/>
                <w:bCs/>
                <w:sz w:val="21"/>
                <w:szCs w:val="21"/>
                <w:lang w:eastAsia="zh-CN"/>
              </w:rPr>
              <w:t>工作</w:t>
            </w:r>
            <w:r>
              <w:rPr>
                <w:rFonts w:hint="eastAsia" w:ascii="方正仿宋_GBK" w:hAnsi="方正仿宋_GBK" w:eastAsia="方正仿宋_GBK" w:cs="方正仿宋_GBK"/>
                <w:bCs/>
                <w:sz w:val="21"/>
                <w:szCs w:val="21"/>
              </w:rPr>
              <w:t>方案内容包括但不限于：审计工作目标、审计内容与重点、审计程序及方法、审计组织与分工、审计时间安排、审计进度和审计质量记录等</w:t>
            </w:r>
            <w:r>
              <w:rPr>
                <w:rFonts w:hint="eastAsia" w:ascii="方正仿宋_GBK" w:hAnsi="方正仿宋_GBK" w:eastAsia="方正仿宋_GBK" w:cs="方正仿宋_GBK"/>
                <w:bCs/>
                <w:sz w:val="21"/>
                <w:szCs w:val="21"/>
                <w:lang w:eastAsia="zh-CN"/>
              </w:rPr>
              <w:t>，</w:t>
            </w:r>
            <w:r>
              <w:rPr>
                <w:rFonts w:hint="eastAsia" w:ascii="方正仿宋_GBK" w:hAnsi="方正仿宋_GBK" w:eastAsia="方正仿宋_GBK" w:cs="方正仿宋_GBK"/>
                <w:bCs/>
                <w:sz w:val="21"/>
                <w:szCs w:val="21"/>
              </w:rPr>
              <w:t>并落实信息安全</w:t>
            </w:r>
            <w:r>
              <w:rPr>
                <w:rFonts w:hint="eastAsia" w:ascii="方正仿宋_GBK" w:hAnsi="方正仿宋_GBK" w:eastAsia="方正仿宋_GBK" w:cs="方正仿宋_GBK"/>
                <w:bCs/>
                <w:sz w:val="21"/>
                <w:szCs w:val="21"/>
                <w:lang w:eastAsia="zh-CN"/>
              </w:rPr>
              <w:t>管理</w:t>
            </w:r>
            <w:r>
              <w:rPr>
                <w:rFonts w:hint="eastAsia" w:ascii="方正仿宋_GBK" w:hAnsi="方正仿宋_GBK" w:eastAsia="方正仿宋_GBK" w:cs="方正仿宋_GBK"/>
                <w:bCs/>
                <w:sz w:val="21"/>
                <w:szCs w:val="21"/>
              </w:rPr>
              <w:t>责任。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
                <w:bCs w:val="0"/>
                <w:sz w:val="21"/>
                <w:szCs w:val="21"/>
              </w:rPr>
              <w:t>一档（</w:t>
            </w:r>
            <w:r>
              <w:rPr>
                <w:rFonts w:hint="eastAsia" w:ascii="方正仿宋_GBK" w:hAnsi="方正仿宋_GBK" w:eastAsia="方正仿宋_GBK" w:cs="方正仿宋_GBK"/>
                <w:b/>
                <w:bCs w:val="0"/>
                <w:sz w:val="21"/>
                <w:szCs w:val="21"/>
                <w:lang w:val="en-US" w:eastAsia="zh-CN"/>
              </w:rPr>
              <w:t>14</w:t>
            </w:r>
            <w:r>
              <w:rPr>
                <w:rFonts w:hint="eastAsia" w:ascii="方正仿宋_GBK" w:hAnsi="方正仿宋_GBK" w:eastAsia="方正仿宋_GBK" w:cs="方正仿宋_GBK"/>
                <w:b/>
                <w:bCs w:val="0"/>
                <w:sz w:val="21"/>
                <w:szCs w:val="21"/>
              </w:rPr>
              <w:t>.1～</w:t>
            </w:r>
            <w:r>
              <w:rPr>
                <w:rFonts w:hint="eastAsia" w:ascii="方正仿宋_GBK" w:hAnsi="方正仿宋_GBK" w:eastAsia="方正仿宋_GBK" w:cs="方正仿宋_GBK"/>
                <w:b/>
                <w:bCs w:val="0"/>
                <w:sz w:val="21"/>
                <w:szCs w:val="21"/>
                <w:lang w:val="en-US" w:eastAsia="zh-CN"/>
              </w:rPr>
              <w:t>2</w:t>
            </w:r>
            <w:r>
              <w:rPr>
                <w:rFonts w:hint="eastAsia" w:ascii="方正仿宋_GBK" w:hAnsi="方正仿宋_GBK" w:eastAsia="方正仿宋_GBK" w:cs="方正仿宋_GBK"/>
                <w:b/>
                <w:bCs w:val="0"/>
                <w:sz w:val="21"/>
                <w:szCs w:val="21"/>
              </w:rPr>
              <w:t>0分）：</w:t>
            </w:r>
            <w:r>
              <w:rPr>
                <w:rFonts w:hint="eastAsia" w:ascii="方正仿宋_GBK" w:hAnsi="方正仿宋_GBK" w:eastAsia="方正仿宋_GBK" w:cs="方正仿宋_GBK"/>
                <w:bCs/>
                <w:sz w:val="21"/>
                <w:szCs w:val="21"/>
              </w:rPr>
              <w:t>编制要素完备、业务分析重点突出且详实科学，信息安全保护严密；</w:t>
            </w:r>
          </w:p>
          <w:p>
            <w:pPr>
              <w:spacing w:line="360" w:lineRule="exact"/>
              <w:ind w:right="0" w:rightChars="0" w:firstLine="0" w:firstLineChars="0"/>
              <w:outlineLvl w:val="9"/>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
                <w:bCs w:val="0"/>
                <w:sz w:val="21"/>
                <w:szCs w:val="21"/>
              </w:rPr>
              <w:t>二档（</w:t>
            </w:r>
            <w:r>
              <w:rPr>
                <w:rFonts w:hint="eastAsia" w:ascii="方正仿宋_GBK" w:hAnsi="方正仿宋_GBK" w:eastAsia="方正仿宋_GBK" w:cs="方正仿宋_GBK"/>
                <w:b/>
                <w:bCs w:val="0"/>
                <w:sz w:val="21"/>
                <w:szCs w:val="21"/>
                <w:lang w:val="en-US" w:eastAsia="zh-CN"/>
              </w:rPr>
              <w:t>7</w:t>
            </w:r>
            <w:r>
              <w:rPr>
                <w:rFonts w:hint="eastAsia" w:ascii="方正仿宋_GBK" w:hAnsi="方正仿宋_GBK" w:eastAsia="方正仿宋_GBK" w:cs="方正仿宋_GBK"/>
                <w:b/>
                <w:bCs w:val="0"/>
                <w:sz w:val="21"/>
                <w:szCs w:val="21"/>
              </w:rPr>
              <w:t>.1～</w:t>
            </w:r>
            <w:r>
              <w:rPr>
                <w:rFonts w:hint="eastAsia" w:ascii="方正仿宋_GBK" w:hAnsi="方正仿宋_GBK" w:eastAsia="方正仿宋_GBK" w:cs="方正仿宋_GBK"/>
                <w:b/>
                <w:bCs w:val="0"/>
                <w:sz w:val="21"/>
                <w:szCs w:val="21"/>
                <w:lang w:val="en-US" w:eastAsia="zh-CN"/>
              </w:rPr>
              <w:t>14</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Cs/>
                <w:sz w:val="21"/>
                <w:szCs w:val="21"/>
              </w:rPr>
              <w:t>编制要素较为完整、业务分析有重点但相对简单，信息安全保护一般；</w:t>
            </w:r>
          </w:p>
          <w:p>
            <w:pPr>
              <w:spacing w:line="360" w:lineRule="exact"/>
              <w:ind w:right="0" w:rightChars="0" w:firstLine="0" w:firstLineChars="0"/>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b/>
                <w:bCs w:val="0"/>
                <w:sz w:val="21"/>
                <w:szCs w:val="21"/>
              </w:rPr>
              <w:t>三档（0.1～</w:t>
            </w:r>
            <w:r>
              <w:rPr>
                <w:rFonts w:hint="eastAsia" w:ascii="方正仿宋_GBK" w:hAnsi="方正仿宋_GBK" w:eastAsia="方正仿宋_GBK" w:cs="方正仿宋_GBK"/>
                <w:b/>
                <w:bCs w:val="0"/>
                <w:sz w:val="21"/>
                <w:szCs w:val="21"/>
                <w:lang w:val="en-US" w:eastAsia="zh-CN"/>
              </w:rPr>
              <w:t>7</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Cs/>
                <w:sz w:val="21"/>
                <w:szCs w:val="21"/>
              </w:rPr>
              <w:t>编制要素存在缺项、业务分析无重点，信息安全保护存在</w:t>
            </w:r>
            <w:r>
              <w:rPr>
                <w:rFonts w:hint="eastAsia" w:ascii="方正仿宋_GBK" w:hAnsi="方正仿宋_GBK" w:eastAsia="方正仿宋_GBK" w:cs="方正仿宋_GBK"/>
                <w:bCs/>
                <w:sz w:val="21"/>
                <w:szCs w:val="21"/>
                <w:lang w:eastAsia="zh-CN"/>
              </w:rPr>
              <w:t>缺</w:t>
            </w:r>
            <w:r>
              <w:rPr>
                <w:rFonts w:hint="eastAsia" w:ascii="方正仿宋_GBK" w:hAnsi="方正仿宋_GBK" w:eastAsia="方正仿宋_GBK" w:cs="方正仿宋_GBK"/>
                <w:bCs/>
                <w:sz w:val="21"/>
                <w:szCs w:val="21"/>
              </w:rPr>
              <w:t>陷。</w:t>
            </w:r>
          </w:p>
        </w:tc>
      </w:tr>
      <w:tr>
        <w:tblPrEx>
          <w:tblCellMar>
            <w:top w:w="0" w:type="dxa"/>
            <w:left w:w="108" w:type="dxa"/>
            <w:bottom w:w="0" w:type="dxa"/>
            <w:right w:w="108" w:type="dxa"/>
          </w:tblCellMar>
        </w:tblPrEx>
        <w:trPr>
          <w:trHeight w:val="2358" w:hRule="atLeast"/>
        </w:trPr>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eastAsia="zh-CN"/>
              </w:rPr>
            </w:pPr>
            <w:r>
              <w:rPr>
                <w:rFonts w:hint="eastAsia" w:ascii="方正仿宋_GBK" w:hAnsi="方正仿宋_GBK" w:eastAsia="方正仿宋_GBK" w:cs="方正仿宋_GBK"/>
                <w:b/>
                <w:kern w:val="0"/>
                <w:sz w:val="21"/>
                <w:szCs w:val="21"/>
                <w:lang w:eastAsia="zh-CN"/>
              </w:rPr>
              <w:t>项目质量控制措施</w:t>
            </w:r>
          </w:p>
        </w:tc>
        <w:tc>
          <w:tcPr>
            <w:tcW w:w="8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val="en-US" w:eastAsia="zh-CN"/>
              </w:rPr>
              <w:t>20分</w:t>
            </w:r>
          </w:p>
        </w:tc>
        <w:tc>
          <w:tcPr>
            <w:tcW w:w="78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textAlignment w:val="auto"/>
              <w:outlineLvl w:val="0"/>
              <w:rPr>
                <w:rFonts w:hint="eastAsia" w:ascii="方正仿宋_GBK" w:hAnsi="方正仿宋_GBK" w:eastAsia="方正仿宋_GBK" w:cs="方正仿宋_GBK"/>
                <w:color w:val="000000"/>
                <w:kern w:val="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rPr>
              <w:t xml:space="preserve">按照项目质量控制措施的科学、合理、针对性及文件制作水平评分：              </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textAlignment w:val="auto"/>
              <w:outlineLvl w:val="0"/>
              <w:rPr>
                <w:rFonts w:hint="eastAsia" w:ascii="方正仿宋_GBK" w:hAnsi="方正仿宋_GBK" w:eastAsia="方正仿宋_GBK" w:cs="方正仿宋_GBK"/>
                <w:color w:val="000000"/>
                <w:kern w:val="0"/>
                <w:sz w:val="21"/>
                <w:szCs w:val="21"/>
                <w:highlight w:val="none"/>
                <w:lang w:val="en-US" w:eastAsia="zh-CN"/>
              </w:rPr>
            </w:pPr>
            <w:r>
              <w:rPr>
                <w:rFonts w:hint="eastAsia" w:ascii="方正仿宋_GBK" w:hAnsi="方正仿宋_GBK" w:eastAsia="方正仿宋_GBK" w:cs="方正仿宋_GBK"/>
                <w:b/>
                <w:bCs/>
                <w:color w:val="000000"/>
                <w:kern w:val="0"/>
                <w:sz w:val="21"/>
                <w:szCs w:val="21"/>
                <w:highlight w:val="none"/>
                <w:lang w:val="en-US" w:eastAsia="zh-CN"/>
              </w:rPr>
              <w:t>一档（</w:t>
            </w:r>
            <w:r>
              <w:rPr>
                <w:rFonts w:hint="eastAsia" w:ascii="方正仿宋_GBK" w:hAnsi="方正仿宋_GBK" w:eastAsia="方正仿宋_GBK" w:cs="方正仿宋_GBK"/>
                <w:b/>
                <w:bCs/>
                <w:sz w:val="21"/>
                <w:szCs w:val="21"/>
                <w:lang w:val="en-US" w:eastAsia="zh-CN"/>
              </w:rPr>
              <w:t>14</w:t>
            </w:r>
            <w:r>
              <w:rPr>
                <w:rFonts w:hint="eastAsia" w:ascii="方正仿宋_GBK" w:hAnsi="方正仿宋_GBK" w:eastAsia="方正仿宋_GBK" w:cs="方正仿宋_GBK"/>
                <w:b/>
                <w:bCs/>
                <w:sz w:val="21"/>
                <w:szCs w:val="21"/>
              </w:rPr>
              <w:t>.1～</w:t>
            </w:r>
            <w:r>
              <w:rPr>
                <w:rFonts w:hint="eastAsia" w:ascii="方正仿宋_GBK" w:hAnsi="方正仿宋_GBK" w:eastAsia="方正仿宋_GBK" w:cs="方正仿宋_GBK"/>
                <w:b/>
                <w:bCs/>
                <w:sz w:val="21"/>
                <w:szCs w:val="21"/>
                <w:lang w:val="en-US" w:eastAsia="zh-CN"/>
              </w:rPr>
              <w:t>2</w:t>
            </w:r>
            <w:r>
              <w:rPr>
                <w:rFonts w:hint="eastAsia" w:ascii="方正仿宋_GBK" w:hAnsi="方正仿宋_GBK" w:eastAsia="方正仿宋_GBK" w:cs="方正仿宋_GBK"/>
                <w:b/>
                <w:bCs/>
                <w:sz w:val="21"/>
                <w:szCs w:val="21"/>
              </w:rPr>
              <w:t>0</w:t>
            </w:r>
            <w:r>
              <w:rPr>
                <w:rFonts w:hint="eastAsia" w:ascii="方正仿宋_GBK" w:hAnsi="方正仿宋_GBK" w:eastAsia="方正仿宋_GBK" w:cs="方正仿宋_GBK"/>
                <w:b/>
                <w:bCs/>
                <w:color w:val="000000"/>
                <w:kern w:val="0"/>
                <w:sz w:val="21"/>
                <w:szCs w:val="21"/>
                <w:highlight w:val="none"/>
                <w:lang w:val="en-US" w:eastAsia="zh-CN"/>
              </w:rPr>
              <w:t>分）：</w:t>
            </w:r>
            <w:r>
              <w:rPr>
                <w:rFonts w:hint="eastAsia" w:ascii="方正仿宋_GBK" w:hAnsi="方正仿宋_GBK" w:eastAsia="方正仿宋_GBK" w:cs="方正仿宋_GBK"/>
                <w:color w:val="000000"/>
                <w:kern w:val="0"/>
                <w:sz w:val="21"/>
                <w:szCs w:val="21"/>
                <w:highlight w:val="none"/>
                <w:lang w:val="en-US" w:eastAsia="zh-CN"/>
              </w:rPr>
              <w:t xml:space="preserve">项目质量管理水平高、管理措施利于项目推进，项目质量控制措施科学合理，内容严谨、简练；                                           </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textAlignment w:val="auto"/>
              <w:outlineLvl w:val="0"/>
              <w:rPr>
                <w:rFonts w:hint="eastAsia" w:ascii="方正仿宋_GBK" w:hAnsi="方正仿宋_GBK" w:eastAsia="方正仿宋_GBK" w:cs="方正仿宋_GBK"/>
                <w:color w:val="000000"/>
                <w:kern w:val="0"/>
                <w:sz w:val="21"/>
                <w:szCs w:val="21"/>
                <w:highlight w:val="none"/>
                <w:lang w:val="en-US" w:eastAsia="zh-CN"/>
              </w:rPr>
            </w:pPr>
            <w:r>
              <w:rPr>
                <w:rFonts w:hint="eastAsia" w:ascii="方正仿宋_GBK" w:hAnsi="方正仿宋_GBK" w:eastAsia="方正仿宋_GBK" w:cs="方正仿宋_GBK"/>
                <w:b/>
                <w:bCs/>
                <w:color w:val="000000"/>
                <w:kern w:val="0"/>
                <w:sz w:val="21"/>
                <w:szCs w:val="21"/>
                <w:highlight w:val="none"/>
                <w:lang w:val="en-US" w:eastAsia="zh-CN"/>
              </w:rPr>
              <w:t>二档（</w:t>
            </w:r>
            <w:r>
              <w:rPr>
                <w:rFonts w:hint="eastAsia" w:ascii="方正仿宋_GBK" w:hAnsi="方正仿宋_GBK" w:eastAsia="方正仿宋_GBK" w:cs="方正仿宋_GBK"/>
                <w:b/>
                <w:bCs/>
                <w:sz w:val="21"/>
                <w:szCs w:val="21"/>
                <w:lang w:val="en-US" w:eastAsia="zh-CN"/>
              </w:rPr>
              <w:t>7</w:t>
            </w:r>
            <w:r>
              <w:rPr>
                <w:rFonts w:hint="eastAsia" w:ascii="方正仿宋_GBK" w:hAnsi="方正仿宋_GBK" w:eastAsia="方正仿宋_GBK" w:cs="方正仿宋_GBK"/>
                <w:b/>
                <w:bCs/>
                <w:sz w:val="21"/>
                <w:szCs w:val="21"/>
              </w:rPr>
              <w:t>.1～</w:t>
            </w:r>
            <w:r>
              <w:rPr>
                <w:rFonts w:hint="eastAsia" w:ascii="方正仿宋_GBK" w:hAnsi="方正仿宋_GBK" w:eastAsia="方正仿宋_GBK" w:cs="方正仿宋_GBK"/>
                <w:b/>
                <w:bCs/>
                <w:sz w:val="21"/>
                <w:szCs w:val="21"/>
                <w:lang w:val="en-US" w:eastAsia="zh-CN"/>
              </w:rPr>
              <w:t>14</w:t>
            </w:r>
            <w:r>
              <w:rPr>
                <w:rFonts w:hint="eastAsia" w:ascii="方正仿宋_GBK" w:hAnsi="方正仿宋_GBK" w:eastAsia="方正仿宋_GBK" w:cs="方正仿宋_GBK"/>
                <w:b/>
                <w:bCs/>
                <w:color w:val="000000"/>
                <w:kern w:val="0"/>
                <w:sz w:val="21"/>
                <w:szCs w:val="21"/>
                <w:highlight w:val="none"/>
                <w:lang w:val="en-US" w:eastAsia="zh-CN"/>
              </w:rPr>
              <w:t>分）：</w:t>
            </w:r>
            <w:r>
              <w:rPr>
                <w:rFonts w:hint="eastAsia" w:ascii="方正仿宋_GBK" w:hAnsi="方正仿宋_GBK" w:eastAsia="方正仿宋_GBK" w:cs="方正仿宋_GBK"/>
                <w:color w:val="000000"/>
                <w:kern w:val="0"/>
                <w:sz w:val="21"/>
                <w:szCs w:val="21"/>
                <w:highlight w:val="none"/>
                <w:lang w:val="en-US" w:eastAsia="zh-CN"/>
              </w:rPr>
              <w:t>项目质量管理水平一般、管理措施可满足项目需求，项目质量控制措施科学合理，内容编写简单；</w:t>
            </w:r>
          </w:p>
          <w:p>
            <w:pPr>
              <w:spacing w:line="360" w:lineRule="exact"/>
              <w:ind w:right="0" w:rightChars="0" w:firstLine="0" w:firstLineChars="0"/>
              <w:outlineLvl w:val="0"/>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b/>
                <w:bCs/>
                <w:color w:val="000000"/>
                <w:kern w:val="0"/>
                <w:sz w:val="21"/>
                <w:szCs w:val="21"/>
                <w:highlight w:val="none"/>
                <w:lang w:val="en-US" w:eastAsia="zh-CN"/>
              </w:rPr>
              <w:t>三档（</w:t>
            </w:r>
            <w:r>
              <w:rPr>
                <w:rFonts w:hint="eastAsia" w:ascii="方正仿宋_GBK" w:hAnsi="方正仿宋_GBK" w:eastAsia="方正仿宋_GBK" w:cs="方正仿宋_GBK"/>
                <w:b/>
                <w:bCs/>
                <w:sz w:val="21"/>
                <w:szCs w:val="21"/>
              </w:rPr>
              <w:t>0.1～</w:t>
            </w:r>
            <w:r>
              <w:rPr>
                <w:rFonts w:hint="eastAsia" w:ascii="方正仿宋_GBK" w:hAnsi="方正仿宋_GBK" w:eastAsia="方正仿宋_GBK" w:cs="方正仿宋_GBK"/>
                <w:b/>
                <w:bCs/>
                <w:sz w:val="21"/>
                <w:szCs w:val="21"/>
                <w:lang w:val="en-US" w:eastAsia="zh-CN"/>
              </w:rPr>
              <w:t>7</w:t>
            </w:r>
            <w:r>
              <w:rPr>
                <w:rFonts w:hint="eastAsia" w:ascii="方正仿宋_GBK" w:hAnsi="方正仿宋_GBK" w:eastAsia="方正仿宋_GBK" w:cs="方正仿宋_GBK"/>
                <w:b/>
                <w:bCs/>
                <w:color w:val="000000"/>
                <w:kern w:val="0"/>
                <w:sz w:val="21"/>
                <w:szCs w:val="21"/>
                <w:highlight w:val="none"/>
                <w:lang w:val="en-US" w:eastAsia="zh-CN"/>
              </w:rPr>
              <w:t>分）：</w:t>
            </w:r>
            <w:r>
              <w:rPr>
                <w:rFonts w:hint="eastAsia" w:ascii="方正仿宋_GBK" w:hAnsi="方正仿宋_GBK" w:eastAsia="方正仿宋_GBK" w:cs="方正仿宋_GBK"/>
                <w:color w:val="000000"/>
                <w:kern w:val="0"/>
                <w:sz w:val="21"/>
                <w:szCs w:val="21"/>
                <w:highlight w:val="none"/>
                <w:lang w:val="en-US" w:eastAsia="zh-CN"/>
              </w:rPr>
              <w:t xml:space="preserve">项目质量管理水平较差、有必要的质量管理措施，项目质量控制措施科学合理性较弱，内容冗杂、多余。 </w:t>
            </w:r>
          </w:p>
        </w:tc>
      </w:tr>
      <w:tr>
        <w:tblPrEx>
          <w:tblCellMar>
            <w:top w:w="0" w:type="dxa"/>
            <w:left w:w="108" w:type="dxa"/>
            <w:bottom w:w="0" w:type="dxa"/>
            <w:right w:w="108" w:type="dxa"/>
          </w:tblCellMar>
        </w:tblPrEx>
        <w:trPr>
          <w:trHeight w:val="1146" w:hRule="atLeast"/>
        </w:trPr>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eastAsia="zh-CN"/>
              </w:rPr>
            </w:pPr>
            <w:r>
              <w:rPr>
                <w:rFonts w:hint="eastAsia" w:ascii="方正仿宋_GBK" w:hAnsi="方正仿宋_GBK" w:eastAsia="方正仿宋_GBK" w:cs="方正仿宋_GBK"/>
                <w:b/>
                <w:kern w:val="0"/>
                <w:sz w:val="21"/>
                <w:szCs w:val="21"/>
                <w:lang w:val="en-US" w:eastAsia="zh-CN"/>
              </w:rPr>
              <w:t>磋商情况</w:t>
            </w:r>
          </w:p>
        </w:tc>
        <w:tc>
          <w:tcPr>
            <w:tcW w:w="8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val="en-US" w:eastAsia="zh-CN"/>
              </w:rPr>
              <w:t>10分</w:t>
            </w:r>
          </w:p>
        </w:tc>
        <w:tc>
          <w:tcPr>
            <w:tcW w:w="78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outlineLvl w:val="0"/>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bidi="ar-SA"/>
              </w:rPr>
              <w:t>根据竞标人述标情况、答辩完整性以及总体印象等方面按以下二档进行评分：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outlineLvl w:val="0"/>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bidi="ar-SA"/>
              </w:rPr>
              <w:t>一档（5.1-10分）：竞标人述标逻辑清晰，能够准确且充分地回应评标委员现场提问，总体印象良好；</w:t>
            </w:r>
          </w:p>
          <w:p>
            <w:pPr>
              <w:widowControl/>
              <w:numPr>
                <w:ilvl w:val="-1"/>
                <w:numId w:val="0"/>
              </w:numPr>
              <w:spacing w:line="360" w:lineRule="exact"/>
              <w:outlineLvl w:val="0"/>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color w:val="000000"/>
                <w:kern w:val="0"/>
                <w:sz w:val="21"/>
                <w:szCs w:val="21"/>
                <w:highlight w:val="none"/>
                <w:lang w:val="en-US" w:eastAsia="zh-CN" w:bidi="ar-SA"/>
              </w:rPr>
              <w:t>二档（0-5分）：竞标人述标逻辑一般，基本能完整回答评为提问的问题，总体印象一般。</w:t>
            </w:r>
          </w:p>
        </w:tc>
      </w:tr>
      <w:tr>
        <w:tblPrEx>
          <w:tblCellMar>
            <w:top w:w="0" w:type="dxa"/>
            <w:left w:w="108" w:type="dxa"/>
            <w:bottom w:w="0" w:type="dxa"/>
            <w:right w:w="108" w:type="dxa"/>
          </w:tblCellMar>
        </w:tblPrEx>
        <w:trPr>
          <w:trHeight w:val="1146" w:hRule="atLeast"/>
        </w:trPr>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eastAsia="zh-CN"/>
              </w:rPr>
            </w:pPr>
            <w:r>
              <w:rPr>
                <w:rFonts w:hint="eastAsia" w:ascii="方正仿宋_GBK" w:hAnsi="方正仿宋_GBK" w:eastAsia="方正仿宋_GBK" w:cs="方正仿宋_GBK"/>
                <w:b/>
                <w:kern w:val="0"/>
                <w:sz w:val="21"/>
                <w:szCs w:val="21"/>
                <w:lang w:eastAsia="zh-CN"/>
              </w:rPr>
              <w:t>商务响应程度</w:t>
            </w:r>
          </w:p>
        </w:tc>
        <w:tc>
          <w:tcPr>
            <w:tcW w:w="8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kern w:val="0"/>
                <w:sz w:val="21"/>
                <w:szCs w:val="21"/>
                <w:lang w:val="en-US" w:eastAsia="zh-CN"/>
              </w:rPr>
            </w:pPr>
            <w:r>
              <w:rPr>
                <w:rFonts w:hint="eastAsia" w:ascii="方正仿宋_GBK" w:hAnsi="方正仿宋_GBK" w:eastAsia="方正仿宋_GBK" w:cs="方正仿宋_GBK"/>
                <w:b/>
                <w:kern w:val="0"/>
                <w:sz w:val="21"/>
                <w:szCs w:val="21"/>
                <w:lang w:val="en-US" w:eastAsia="zh-CN"/>
              </w:rPr>
              <w:t>10分</w:t>
            </w:r>
          </w:p>
        </w:tc>
        <w:tc>
          <w:tcPr>
            <w:tcW w:w="7890"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Style w:val="50"/>
                <w:rFonts w:hint="eastAsia" w:ascii="方正仿宋_GBK" w:hAnsi="方正仿宋_GBK" w:eastAsia="方正仿宋_GBK" w:cs="方正仿宋_GBK"/>
                <w:b w:val="0"/>
                <w:bCs/>
                <w:color w:val="auto"/>
                <w:szCs w:val="21"/>
                <w:highlight w:val="none"/>
                <w:u w:val="none"/>
              </w:rPr>
            </w:pPr>
            <w:r>
              <w:rPr>
                <w:rStyle w:val="50"/>
                <w:rFonts w:hint="eastAsia" w:ascii="方正仿宋_GBK" w:hAnsi="方正仿宋_GBK" w:eastAsia="方正仿宋_GBK" w:cs="方正仿宋_GBK"/>
                <w:b/>
                <w:bCs w:val="0"/>
                <w:color w:val="auto"/>
                <w:szCs w:val="21"/>
                <w:highlight w:val="none"/>
                <w:u w:val="none"/>
                <w:lang w:val="en-US" w:eastAsia="zh-CN"/>
              </w:rPr>
              <w:t>1.培训服务（5分）：</w:t>
            </w:r>
            <w:r>
              <w:rPr>
                <w:rStyle w:val="50"/>
                <w:rFonts w:hint="eastAsia" w:ascii="方正仿宋_GBK" w:hAnsi="方正仿宋_GBK" w:eastAsia="方正仿宋_GBK" w:cs="方正仿宋_GBK"/>
                <w:b w:val="0"/>
                <w:bCs/>
                <w:color w:val="auto"/>
                <w:szCs w:val="21"/>
                <w:highlight w:val="none"/>
                <w:u w:val="none"/>
                <w:lang w:val="en-US" w:eastAsia="zh-CN"/>
              </w:rPr>
              <w:t>根据竞标人</w:t>
            </w:r>
            <w:r>
              <w:rPr>
                <w:rStyle w:val="50"/>
                <w:rFonts w:hint="eastAsia" w:ascii="方正仿宋_GBK" w:hAnsi="方正仿宋_GBK" w:eastAsia="方正仿宋_GBK" w:cs="方正仿宋_GBK"/>
                <w:b w:val="0"/>
                <w:bCs/>
                <w:color w:val="auto"/>
                <w:szCs w:val="21"/>
                <w:highlight w:val="none"/>
                <w:u w:val="none"/>
              </w:rPr>
              <w:t>提供有关</w:t>
            </w:r>
            <w:r>
              <w:rPr>
                <w:rStyle w:val="50"/>
                <w:rFonts w:hint="eastAsia" w:ascii="方正仿宋_GBK" w:hAnsi="方正仿宋_GBK" w:eastAsia="方正仿宋_GBK" w:cs="方正仿宋_GBK"/>
                <w:b w:val="0"/>
                <w:bCs/>
                <w:color w:val="auto"/>
                <w:szCs w:val="21"/>
                <w:highlight w:val="none"/>
                <w:u w:val="none"/>
                <w:lang w:eastAsia="zh-CN"/>
              </w:rPr>
              <w:t>理财业务和理财产品风险管理、理财业务和产品审计、</w:t>
            </w:r>
            <w:r>
              <w:rPr>
                <w:rStyle w:val="50"/>
                <w:rFonts w:hint="eastAsia" w:ascii="方正仿宋_GBK" w:hAnsi="方正仿宋_GBK" w:eastAsia="方正仿宋_GBK" w:cs="方正仿宋_GBK"/>
                <w:b w:val="0"/>
                <w:bCs/>
                <w:color w:val="auto"/>
                <w:szCs w:val="21"/>
                <w:highlight w:val="none"/>
                <w:u w:val="none"/>
              </w:rPr>
              <w:t>内控管理等方面的知识培训时间</w:t>
            </w:r>
            <w:r>
              <w:rPr>
                <w:rStyle w:val="50"/>
                <w:rFonts w:hint="eastAsia" w:ascii="方正仿宋_GBK" w:hAnsi="方正仿宋_GBK" w:eastAsia="方正仿宋_GBK" w:cs="方正仿宋_GBK"/>
                <w:b w:val="0"/>
                <w:bCs/>
                <w:color w:val="auto"/>
                <w:szCs w:val="21"/>
                <w:highlight w:val="none"/>
                <w:u w:val="none"/>
                <w:lang w:eastAsia="zh-CN"/>
              </w:rPr>
              <w:t>（按小时）</w:t>
            </w:r>
            <w:r>
              <w:rPr>
                <w:rStyle w:val="50"/>
                <w:rFonts w:hint="eastAsia" w:ascii="方正仿宋_GBK" w:hAnsi="方正仿宋_GBK" w:eastAsia="方正仿宋_GBK" w:cs="方正仿宋_GBK"/>
                <w:b w:val="0"/>
                <w:bCs/>
                <w:color w:val="auto"/>
                <w:szCs w:val="21"/>
                <w:highlight w:val="none"/>
                <w:u w:val="none"/>
              </w:rPr>
              <w:t>承诺进行横向比较，排名第1名</w:t>
            </w:r>
            <w:r>
              <w:rPr>
                <w:rStyle w:val="50"/>
                <w:rFonts w:hint="eastAsia" w:ascii="方正仿宋_GBK" w:hAnsi="方正仿宋_GBK" w:eastAsia="方正仿宋_GBK" w:cs="方正仿宋_GBK"/>
                <w:b w:val="0"/>
                <w:bCs/>
                <w:color w:val="auto"/>
                <w:szCs w:val="21"/>
                <w:highlight w:val="none"/>
                <w:u w:val="none"/>
                <w:lang w:val="en-US" w:eastAsia="zh-CN"/>
              </w:rPr>
              <w:t>5</w:t>
            </w:r>
            <w:r>
              <w:rPr>
                <w:rStyle w:val="50"/>
                <w:rFonts w:hint="eastAsia" w:ascii="方正仿宋_GBK" w:hAnsi="方正仿宋_GBK" w:eastAsia="方正仿宋_GBK" w:cs="方正仿宋_GBK"/>
                <w:b w:val="0"/>
                <w:bCs/>
                <w:color w:val="auto"/>
                <w:szCs w:val="21"/>
                <w:highlight w:val="none"/>
                <w:u w:val="none"/>
              </w:rPr>
              <w:t>分，第2名</w:t>
            </w:r>
            <w:r>
              <w:rPr>
                <w:rStyle w:val="50"/>
                <w:rFonts w:hint="eastAsia" w:ascii="方正仿宋_GBK" w:hAnsi="方正仿宋_GBK" w:eastAsia="方正仿宋_GBK" w:cs="方正仿宋_GBK"/>
                <w:b w:val="0"/>
                <w:bCs/>
                <w:color w:val="auto"/>
                <w:szCs w:val="21"/>
                <w:highlight w:val="none"/>
                <w:u w:val="none"/>
                <w:lang w:val="en-US" w:eastAsia="zh-CN"/>
              </w:rPr>
              <w:t>4</w:t>
            </w:r>
            <w:r>
              <w:rPr>
                <w:rStyle w:val="50"/>
                <w:rFonts w:hint="eastAsia" w:ascii="方正仿宋_GBK" w:hAnsi="方正仿宋_GBK" w:eastAsia="方正仿宋_GBK" w:cs="方正仿宋_GBK"/>
                <w:b w:val="0"/>
                <w:bCs/>
                <w:color w:val="auto"/>
                <w:szCs w:val="21"/>
                <w:highlight w:val="none"/>
                <w:u w:val="none"/>
              </w:rPr>
              <w:t>分，第3名及以后</w:t>
            </w:r>
            <w:r>
              <w:rPr>
                <w:rStyle w:val="50"/>
                <w:rFonts w:hint="eastAsia" w:ascii="方正仿宋_GBK" w:hAnsi="方正仿宋_GBK" w:eastAsia="方正仿宋_GBK" w:cs="方正仿宋_GBK"/>
                <w:b w:val="0"/>
                <w:bCs/>
                <w:color w:val="auto"/>
                <w:szCs w:val="21"/>
                <w:highlight w:val="none"/>
                <w:u w:val="none"/>
                <w:lang w:val="en-US" w:eastAsia="zh-CN"/>
              </w:rPr>
              <w:t>3</w:t>
            </w:r>
            <w:r>
              <w:rPr>
                <w:rStyle w:val="50"/>
                <w:rFonts w:hint="eastAsia" w:ascii="方正仿宋_GBK" w:hAnsi="方正仿宋_GBK" w:eastAsia="方正仿宋_GBK" w:cs="方正仿宋_GBK"/>
                <w:b w:val="0"/>
                <w:bCs/>
                <w:color w:val="auto"/>
                <w:szCs w:val="21"/>
                <w:highlight w:val="none"/>
                <w:u w:val="none"/>
              </w:rPr>
              <w:t>分。</w:t>
            </w:r>
          </w:p>
          <w:p>
            <w:pPr>
              <w:widowControl/>
              <w:numPr>
                <w:ilvl w:val="0"/>
                <w:numId w:val="0"/>
              </w:numPr>
              <w:spacing w:line="360" w:lineRule="exact"/>
              <w:textAlignment w:val="center"/>
              <w:rPr>
                <w:rFonts w:hint="eastAsia" w:ascii="方正仿宋_GBK" w:hAnsi="方正仿宋_GBK" w:eastAsia="方正仿宋_GBK" w:cs="方正仿宋_GBK"/>
                <w:kern w:val="0"/>
                <w:sz w:val="21"/>
                <w:szCs w:val="21"/>
                <w:lang w:val="en-US" w:eastAsia="zh-CN"/>
              </w:rPr>
            </w:pPr>
            <w:r>
              <w:rPr>
                <w:rStyle w:val="165"/>
                <w:rFonts w:ascii="方正仿宋_GBK" w:hAnsi="方正仿宋_GBK" w:eastAsia="方正仿宋_GBK" w:cs="方正仿宋_GBK"/>
                <w:b/>
                <w:bCs/>
                <w:color w:val="000000" w:themeColor="text1"/>
                <w:highlight w:val="none"/>
                <w:u w:val="none"/>
                <w:lang w:val="en-US" w:eastAsia="zh-CN" w:bidi="ar"/>
                <w14:textFill>
                  <w14:solidFill>
                    <w14:schemeClr w14:val="tx1"/>
                  </w14:solidFill>
                </w14:textFill>
              </w:rPr>
              <w:t>2.其他增值服务（</w:t>
            </w:r>
            <w:r>
              <w:rPr>
                <w:rStyle w:val="165"/>
                <w:rFonts w:hint="eastAsia" w:ascii="方正仿宋_GBK" w:hAnsi="方正仿宋_GBK" w:eastAsia="方正仿宋_GBK" w:cs="方正仿宋_GBK"/>
                <w:b/>
                <w:bCs/>
                <w:color w:val="000000" w:themeColor="text1"/>
                <w:highlight w:val="none"/>
                <w:u w:val="none"/>
                <w:lang w:val="en-US" w:eastAsia="zh-CN" w:bidi="ar"/>
                <w14:textFill>
                  <w14:solidFill>
                    <w14:schemeClr w14:val="tx1"/>
                  </w14:solidFill>
                </w14:textFill>
              </w:rPr>
              <w:t>5</w:t>
            </w:r>
            <w:r>
              <w:rPr>
                <w:rStyle w:val="165"/>
                <w:rFonts w:ascii="方正仿宋_GBK" w:hAnsi="方正仿宋_GBK" w:eastAsia="方正仿宋_GBK" w:cs="方正仿宋_GBK"/>
                <w:b/>
                <w:bCs/>
                <w:color w:val="000000" w:themeColor="text1"/>
                <w:highlight w:val="none"/>
                <w:u w:val="none"/>
                <w:lang w:val="en-US" w:eastAsia="zh-CN" w:bidi="ar"/>
                <w14:textFill>
                  <w14:solidFill>
                    <w14:schemeClr w14:val="tx1"/>
                  </w14:solidFill>
                </w14:textFill>
              </w:rPr>
              <w:t>分）：</w:t>
            </w:r>
            <w:r>
              <w:rPr>
                <w:rStyle w:val="166"/>
                <w:rFonts w:ascii="方正仿宋_GBK" w:hAnsi="方正仿宋_GBK" w:eastAsia="方正仿宋_GBK" w:cs="方正仿宋_GBK"/>
                <w:color w:val="000000" w:themeColor="text1"/>
                <w:sz w:val="21"/>
                <w:szCs w:val="21"/>
                <w:highlight w:val="none"/>
                <w:u w:val="none"/>
                <w:lang w:val="en-US" w:eastAsia="zh-CN" w:bidi="ar"/>
                <w14:textFill>
                  <w14:solidFill>
                    <w14:schemeClr w14:val="tx1"/>
                  </w14:solidFill>
                </w14:textFill>
              </w:rPr>
              <w:t>出具审计报告后，根据提供采购人认可的增值服务项</w:t>
            </w:r>
            <w:r>
              <w:rPr>
                <w:rStyle w:val="166"/>
                <w:rFonts w:hint="eastAsia" w:ascii="方正仿宋_GBK" w:hAnsi="方正仿宋_GBK" w:eastAsia="方正仿宋_GBK" w:cs="方正仿宋_GBK"/>
                <w:color w:val="000000" w:themeColor="text1"/>
                <w:sz w:val="21"/>
                <w:szCs w:val="21"/>
                <w:highlight w:val="none"/>
                <w:u w:val="none"/>
                <w:lang w:val="en-US" w:eastAsia="zh-CN" w:bidi="ar"/>
                <w14:textFill>
                  <w14:solidFill>
                    <w14:schemeClr w14:val="tx1"/>
                  </w14:solidFill>
                </w14:textFill>
              </w:rPr>
              <w:t>进行评分</w:t>
            </w:r>
            <w:r>
              <w:rPr>
                <w:rStyle w:val="166"/>
                <w:rFonts w:ascii="方正仿宋_GBK" w:hAnsi="方正仿宋_GBK" w:eastAsia="方正仿宋_GBK" w:cs="方正仿宋_GBK"/>
                <w:color w:val="000000" w:themeColor="text1"/>
                <w:sz w:val="21"/>
                <w:szCs w:val="21"/>
                <w:highlight w:val="none"/>
                <w:u w:val="none"/>
                <w:lang w:val="en-US" w:eastAsia="zh-CN" w:bidi="ar"/>
                <w14:textFill>
                  <w14:solidFill>
                    <w14:schemeClr w14:val="tx1"/>
                  </w14:solidFill>
                </w14:textFill>
              </w:rPr>
              <w:t>，每项1分，最多</w:t>
            </w:r>
            <w:r>
              <w:rPr>
                <w:rStyle w:val="166"/>
                <w:rFonts w:hint="eastAsia" w:ascii="方正仿宋_GBK" w:hAnsi="方正仿宋_GBK" w:eastAsia="方正仿宋_GBK" w:cs="方正仿宋_GBK"/>
                <w:color w:val="000000" w:themeColor="text1"/>
                <w:sz w:val="21"/>
                <w:szCs w:val="21"/>
                <w:highlight w:val="none"/>
                <w:u w:val="none"/>
                <w:lang w:val="en-US" w:eastAsia="zh-CN" w:bidi="ar"/>
                <w14:textFill>
                  <w14:solidFill>
                    <w14:schemeClr w14:val="tx1"/>
                  </w14:solidFill>
                </w14:textFill>
              </w:rPr>
              <w:t>5</w:t>
            </w:r>
            <w:r>
              <w:rPr>
                <w:rStyle w:val="166"/>
                <w:rFonts w:ascii="方正仿宋_GBK" w:hAnsi="方正仿宋_GBK" w:eastAsia="方正仿宋_GBK" w:cs="方正仿宋_GBK"/>
                <w:color w:val="000000" w:themeColor="text1"/>
                <w:sz w:val="21"/>
                <w:szCs w:val="21"/>
                <w:highlight w:val="none"/>
                <w:u w:val="none"/>
                <w:lang w:val="en-US" w:eastAsia="zh-CN" w:bidi="ar"/>
                <w14:textFill>
                  <w14:solidFill>
                    <w14:schemeClr w14:val="tx1"/>
                  </w14:solidFill>
                </w14:textFill>
              </w:rPr>
              <w:t>分；增值服务包括但不限于：审计工具、管理建议、整改咨询支持等。</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b/>
          <w:color w:val="auto"/>
          <w:sz w:val="18"/>
          <w:szCs w:val="18"/>
        </w:rPr>
        <w:t>备注</w:t>
      </w:r>
      <w:r>
        <w:rPr>
          <w:rFonts w:hint="eastAsia" w:ascii="方正仿宋_GBK" w:hAnsi="方正仿宋_GBK" w:eastAsia="方正仿宋_GBK" w:cs="方正仿宋_GBK"/>
          <w:color w:val="auto"/>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1</w:t>
      </w:r>
      <w:r>
        <w:rPr>
          <w:rFonts w:hint="eastAsia" w:ascii="方正仿宋_GBK" w:hAnsi="方正仿宋_GBK" w:eastAsia="方正仿宋_GBK" w:cs="方正仿宋_GBK"/>
          <w:b/>
          <w:bCs/>
          <w:color w:val="auto"/>
          <w:sz w:val="18"/>
          <w:szCs w:val="18"/>
          <w:lang w:val="en-US" w:eastAsia="zh-CN"/>
        </w:rPr>
        <w:t>.</w:t>
      </w:r>
      <w:r>
        <w:rPr>
          <w:rFonts w:hint="eastAsia" w:ascii="方正仿宋_GBK" w:hAnsi="方正仿宋_GBK" w:eastAsia="方正仿宋_GBK" w:cs="方正仿宋_GBK"/>
          <w:b/>
          <w:bCs/>
          <w:color w:val="auto"/>
          <w:sz w:val="18"/>
          <w:szCs w:val="18"/>
        </w:rPr>
        <w:t>涉及公司资质、同业案例须提供加盖</w:t>
      </w:r>
      <w:r>
        <w:rPr>
          <w:rFonts w:hint="eastAsia" w:ascii="方正仿宋_GBK" w:hAnsi="方正仿宋_GBK" w:eastAsia="方正仿宋_GBK" w:cs="方正仿宋_GBK"/>
          <w:b/>
          <w:bCs/>
          <w:color w:val="auto"/>
          <w:sz w:val="18"/>
          <w:szCs w:val="18"/>
          <w:lang w:eastAsia="zh-CN"/>
        </w:rPr>
        <w:t>竞标</w:t>
      </w:r>
      <w:r>
        <w:rPr>
          <w:rFonts w:hint="eastAsia" w:ascii="方正仿宋_GBK" w:hAnsi="方正仿宋_GBK" w:eastAsia="方正仿宋_GBK" w:cs="方正仿宋_GBK"/>
          <w:b/>
          <w:bCs/>
          <w:color w:val="auto"/>
          <w:sz w:val="18"/>
          <w:szCs w:val="18"/>
        </w:rPr>
        <w:t>人公章的原件正本复印件，上述证明材料须</w:t>
      </w:r>
      <w:r>
        <w:rPr>
          <w:rFonts w:hint="eastAsia" w:ascii="方正仿宋_GBK" w:hAnsi="方正仿宋_GBK" w:eastAsia="方正仿宋_GBK" w:cs="方正仿宋_GBK"/>
          <w:b/>
          <w:bCs/>
          <w:color w:val="auto"/>
          <w:sz w:val="18"/>
          <w:szCs w:val="18"/>
          <w:lang w:eastAsia="zh-CN"/>
        </w:rPr>
        <w:t>包含在响应文件中</w:t>
      </w:r>
      <w:r>
        <w:rPr>
          <w:rFonts w:hint="eastAsia" w:ascii="方正仿宋_GBK" w:hAnsi="方正仿宋_GBK" w:eastAsia="方正仿宋_GBK" w:cs="方正仿宋_GBK"/>
          <w:b/>
          <w:bCs/>
          <w:color w:val="auto"/>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 xml:space="preserve">2 </w:t>
      </w:r>
      <w:r>
        <w:rPr>
          <w:rFonts w:hint="eastAsia" w:ascii="方正仿宋_GBK" w:hAnsi="方正仿宋_GBK" w:eastAsia="方正仿宋_GBK" w:cs="方正仿宋_GBK"/>
          <w:b/>
          <w:bCs/>
          <w:color w:val="auto"/>
          <w:sz w:val="18"/>
          <w:szCs w:val="18"/>
          <w:lang w:val="en-US" w:eastAsia="zh-CN"/>
        </w:rPr>
        <w:t>.</w:t>
      </w:r>
      <w:r>
        <w:rPr>
          <w:rFonts w:hint="eastAsia" w:ascii="方正仿宋_GBK" w:hAnsi="方正仿宋_GBK" w:eastAsia="方正仿宋_GBK" w:cs="方正仿宋_GBK"/>
          <w:b/>
          <w:bCs/>
          <w:color w:val="auto"/>
          <w:sz w:val="18"/>
          <w:szCs w:val="18"/>
        </w:rPr>
        <w:t>项目团队须提供人员简历、学历证书复印件、职称证书/资质证书复印件。简历格式自拟，内容须包括但不限于姓名、职务、性别、年龄、毕业院校/专业、工作经历，在以往项目中的岗位、工作职责及工作内容、所起的作用，在本项目的工作职责及工作内容等。</w:t>
      </w:r>
    </w:p>
    <w:p>
      <w:pPr>
        <w:adjustRightInd w:val="0"/>
        <w:snapToGrid w:val="0"/>
        <w:ind w:firstLine="0" w:firstLineChars="0"/>
        <w:rPr>
          <w:b/>
          <w:bCs/>
          <w:sz w:val="18"/>
          <w:szCs w:val="18"/>
        </w:rPr>
      </w:pPr>
      <w:r>
        <w:rPr>
          <w:rFonts w:hint="eastAsia" w:ascii="方正仿宋_GBK" w:hAnsi="方正仿宋_GBK" w:eastAsia="方正仿宋_GBK" w:cs="方正仿宋_GBK"/>
          <w:b/>
          <w:bCs/>
          <w:color w:val="auto"/>
          <w:sz w:val="18"/>
          <w:szCs w:val="18"/>
        </w:rPr>
        <w:t>3</w:t>
      </w:r>
      <w:r>
        <w:rPr>
          <w:rFonts w:hint="eastAsia" w:ascii="方正仿宋_GBK" w:hAnsi="方正仿宋_GBK" w:eastAsia="方正仿宋_GBK" w:cs="方正仿宋_GBK"/>
          <w:b/>
          <w:bCs/>
          <w:color w:val="auto"/>
          <w:sz w:val="18"/>
          <w:szCs w:val="18"/>
          <w:lang w:val="en-US" w:eastAsia="zh-CN"/>
        </w:rPr>
        <w:t>.</w:t>
      </w:r>
      <w:r>
        <w:rPr>
          <w:rFonts w:hint="eastAsia" w:ascii="方正仿宋_GBK" w:hAnsi="方正仿宋_GBK" w:eastAsia="方正仿宋_GBK" w:cs="方正仿宋_GBK"/>
          <w:b/>
          <w:bCs/>
          <w:color w:val="auto"/>
          <w:sz w:val="18"/>
          <w:szCs w:val="18"/>
          <w:lang w:eastAsia="zh-CN"/>
        </w:rPr>
        <w:t>竞标人</w:t>
      </w:r>
      <w:r>
        <w:rPr>
          <w:rFonts w:hint="eastAsia" w:ascii="方正仿宋_GBK" w:hAnsi="方正仿宋_GBK" w:eastAsia="方正仿宋_GBK" w:cs="方正仿宋_GBK"/>
          <w:b/>
          <w:bCs/>
          <w:color w:val="auto"/>
          <w:sz w:val="18"/>
          <w:szCs w:val="18"/>
        </w:rPr>
        <w:t>提交</w:t>
      </w:r>
      <w:r>
        <w:rPr>
          <w:rFonts w:hint="eastAsia" w:ascii="方正仿宋_GBK" w:hAnsi="方正仿宋_GBK" w:eastAsia="方正仿宋_GBK" w:cs="方正仿宋_GBK"/>
          <w:b/>
          <w:bCs/>
          <w:color w:val="auto"/>
          <w:sz w:val="18"/>
          <w:szCs w:val="18"/>
          <w:lang w:eastAsia="zh-CN"/>
        </w:rPr>
        <w:t>响应文件</w:t>
      </w:r>
      <w:r>
        <w:rPr>
          <w:rFonts w:hint="eastAsia" w:ascii="方正仿宋_GBK" w:hAnsi="方正仿宋_GBK" w:eastAsia="方正仿宋_GBK" w:cs="方正仿宋_GBK"/>
          <w:b/>
          <w:bCs/>
          <w:color w:val="auto"/>
          <w:sz w:val="18"/>
          <w:szCs w:val="18"/>
        </w:rPr>
        <w:t>供采购评委审核，采购评委依据</w:t>
      </w:r>
      <w:r>
        <w:rPr>
          <w:rFonts w:hint="eastAsia" w:ascii="方正仿宋_GBK" w:hAnsi="方正仿宋_GBK" w:eastAsia="方正仿宋_GBK" w:cs="方正仿宋_GBK"/>
          <w:b/>
          <w:bCs/>
          <w:color w:val="auto"/>
          <w:sz w:val="18"/>
          <w:szCs w:val="18"/>
          <w:lang w:eastAsia="zh-CN"/>
        </w:rPr>
        <w:t>响应文件</w:t>
      </w:r>
      <w:r>
        <w:rPr>
          <w:rFonts w:hint="eastAsia" w:ascii="方正仿宋_GBK" w:hAnsi="方正仿宋_GBK" w:eastAsia="方正仿宋_GBK" w:cs="方正仿宋_GBK"/>
          <w:b/>
          <w:bCs/>
          <w:color w:val="auto"/>
          <w:sz w:val="18"/>
          <w:szCs w:val="18"/>
        </w:rPr>
        <w:t>相关附件及证明材料对本评分标准相关评分事项进行评定。</w:t>
      </w:r>
    </w:p>
    <w:p>
      <w:pPr>
        <w:tabs>
          <w:tab w:val="left" w:pos="426"/>
        </w:tabs>
        <w:spacing w:line="360" w:lineRule="exact"/>
        <w:ind w:firstLine="422" w:firstLineChars="200"/>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三、成交候选人推荐原则</w:t>
      </w:r>
    </w:p>
    <w:p>
      <w:pPr>
        <w:spacing w:line="340" w:lineRule="exact"/>
        <w:ind w:right="-94" w:rightChars="-45" w:firstLine="420" w:firstLineChars="20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磋商小组将根据得分由高到低排列次序</w:t>
      </w:r>
      <w:r>
        <w:rPr>
          <w:rFonts w:hint="eastAsia" w:ascii="方正仿宋_GBK" w:hAnsi="方正仿宋_GBK" w:eastAsia="方正仿宋_GBK" w:cs="方正仿宋_GBK"/>
          <w:b/>
          <w:kern w:val="0"/>
          <w:szCs w:val="21"/>
        </w:rPr>
        <w:t>[得分相同时，以磋商报价由低到高顺序排列；得分相同且磋商报价相同的，按</w:t>
      </w:r>
      <w:r>
        <w:rPr>
          <w:rFonts w:hint="eastAsia" w:ascii="方正仿宋_GBK" w:hAnsi="方正仿宋_GBK" w:eastAsia="方正仿宋_GBK" w:cs="方正仿宋_GBK"/>
          <w:b/>
          <w:kern w:val="0"/>
          <w:szCs w:val="21"/>
          <w:highlight w:val="none"/>
          <w:lang w:eastAsia="zh-CN"/>
        </w:rPr>
        <w:t>工作方案与信息安全管理指标</w:t>
      </w:r>
      <w:r>
        <w:rPr>
          <w:rFonts w:hint="eastAsia" w:ascii="方正仿宋_GBK" w:hAnsi="方正仿宋_GBK" w:eastAsia="方正仿宋_GBK" w:cs="方正仿宋_GBK"/>
          <w:b/>
          <w:kern w:val="0"/>
          <w:szCs w:val="21"/>
        </w:rPr>
        <w:t>优劣顺序排列]</w:t>
      </w:r>
      <w:r>
        <w:rPr>
          <w:rFonts w:hint="eastAsia" w:ascii="方正仿宋_GBK" w:hAnsi="方正仿宋_GBK" w:eastAsia="方正仿宋_GBK" w:cs="方正仿宋_GBK"/>
          <w:kern w:val="0"/>
          <w:szCs w:val="21"/>
        </w:rPr>
        <w:t>并推荐成交候选供应商。采购单位应当确定评审委员会推荐排名第一的成交候选人为成交人。排名第一的成交候选人放弃中标、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w:t>
      </w:r>
    </w:p>
    <w:p>
      <w:pPr>
        <w:snapToGrid w:val="0"/>
        <w:ind w:right="482"/>
        <w:jc w:val="center"/>
        <w:outlineLvl w:val="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br w:type="page"/>
      </w:r>
      <w:r>
        <w:rPr>
          <w:rFonts w:hint="eastAsia" w:ascii="方正仿宋_GBK" w:hAnsi="方正仿宋_GBK" w:eastAsia="方正仿宋_GBK" w:cs="方正仿宋_GBK"/>
          <w:b/>
          <w:bCs/>
          <w:sz w:val="32"/>
          <w:szCs w:val="32"/>
        </w:rPr>
        <w:t>第三章 采购需求</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一、项目目标</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供应商根据国家审计准则和银行业监管新规要求，对广西北部湾银行2023年度理财业务及公募理财产品进行审计，并向广西北部湾银行提交审计报告。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二、项目实施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（一）项目工作内容</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供应商根据国家审计准则、《商业银行理财业务监督管理办法》（2018年第6号）等银行业理财业务监管法规，对广西北部湾银行2023年度理财业务及公募理财产品的制度建设、风险管理与内部控制、产品准入管理、人员管理、销售管理、投资管理、合作机构管理、产品托管、产品估值、会计核算和信息披露等进行审计，出具审计报告。理财产品销售管理的有效性、合理性、合规性；理财资金投资运作管理的合规性、有效性和风险性；理财产品信息披露的合规性；理财业务财务报表及其核算的真实性、准确性和合规性；理财业务整改情况、净值化管理及评估；其他监管细则的情况。</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审计内容包括：自营类理财业务、委托类理财业务、私募类理财业务、公募理财产品和其他事项。具体审计内容如下：</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方正仿宋_GBK" w:hAnsi="方正仿宋_GBK" w:eastAsia="方正仿宋_GBK" w:cs="方正仿宋_GBK"/>
          <w:b/>
          <w:snapToGrid w:val="0"/>
          <w:kern w:val="0"/>
          <w:sz w:val="21"/>
          <w:szCs w:val="21"/>
        </w:rPr>
      </w:pPr>
      <w:r>
        <w:rPr>
          <w:rFonts w:hint="eastAsia" w:ascii="方正仿宋_GBK" w:hAnsi="方正仿宋_GBK" w:eastAsia="方正仿宋_GBK" w:cs="方正仿宋_GBK"/>
          <w:b/>
          <w:snapToGrid w:val="0"/>
          <w:kern w:val="0"/>
          <w:sz w:val="21"/>
          <w:szCs w:val="21"/>
        </w:rPr>
        <w:t>（</w:t>
      </w:r>
      <w:r>
        <w:rPr>
          <w:rFonts w:hint="eastAsia" w:ascii="方正仿宋_GBK" w:hAnsi="方正仿宋_GBK" w:eastAsia="方正仿宋_GBK" w:cs="方正仿宋_GBK"/>
          <w:b/>
          <w:snapToGrid w:val="0"/>
          <w:kern w:val="0"/>
          <w:sz w:val="21"/>
          <w:szCs w:val="21"/>
          <w:lang w:val="en-US" w:eastAsia="zh-CN"/>
        </w:rPr>
        <w:t>1</w:t>
      </w:r>
      <w:r>
        <w:rPr>
          <w:rFonts w:hint="eastAsia" w:ascii="方正仿宋_GBK" w:hAnsi="方正仿宋_GBK" w:eastAsia="方正仿宋_GBK" w:cs="方正仿宋_GBK"/>
          <w:b/>
          <w:snapToGrid w:val="0"/>
          <w:kern w:val="0"/>
          <w:sz w:val="21"/>
          <w:szCs w:val="21"/>
        </w:rPr>
        <w:t>）自营类理财业务</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主要对自营类理财业务的综合管理、基础资产管理、销售管理、产品设计管理、资产组合型理财业务管理等内容进行审计。具体内容（包括但不限于）如下：</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①综合管理：主要审计理财业务的内部基础性工作管理情况。包括业务相关组织架构及管理模式、制度建设及操作流程设计、岗位设置及人员管理、信息管理、应急处理、会计核算管理、系统支持及参数管理、交易管理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②基础资产管理：基础资产包括标准资产与非标准化债权资产管理。</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a标准化资产是指在银行间市场及证券交易所市场交易的债权性资产，包括但不限于企业债、公司债、短期融资券、中期票据、超短期融资券、私募债券、资产抵押支持债券等。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b非标准化债权资产是指未在银行间市场及证券交易所市场交易的债权性资产，包括但不限于信贷资产、信托贷款、委托债权、承兑汇票、信用证、应收账款、各类受（收）益权、带回购条款的股权性融资等。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基础资产管理主要审计合作方和基础资产选择、融资客户和保证人审查、尽职调查、授信管理与审批、合同文本的审查及签署、标的资产保管、押品管理、资金账户及使用监控、投后管理、临近到期资金兑付管理和风险管理、档案管理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涉及的业务种类主要包括资本市场及债券投资类、股权及投资类、信贷类、其他类等。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③销售管理：主要审计理财产品销售管理情况。包括营销宣传、风险评估、信息披露、销售对象选择、资金来源等。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④产品设计管理：主要审计和评价理财产品的开发管理情况。包括产品开发申报、产品评审与审批、授权管理、产品资金成本与收益独立测算、风险评级、文本设计与产品说明、产品合法性审核等。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⑤资产池管理：主要审计资产池业务的管理情况。包括投资组合管理、固定期限产品发行管理、流动性管理、估值管理。</w:t>
      </w:r>
    </w:p>
    <w:p>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（2）委托类理财业务</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包括具体审计内容（包括但不限于）如下：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①综合管理：主要审计委托类理财业务的内部基础性工作管理情况。包括对合作方的准入管理、资料收集评价分析、档案管理、突发事件应急预案等。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②业务管理与操作：主要审计合作方准入管理、产品准入管理、合同文本管理、存续管理、到期兑付资金管理、产品备案管理、授信管理与审批、代理推介及风险管控、客户选择及资金来源、风险评估及揭示、风险缓释措施、销售行为管理、销售渠道等。</w:t>
      </w:r>
    </w:p>
    <w:p>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（3）私募类理财业务</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包括私募投资类理财产品、代理私募股权投资业务和私募顾问业务（含私募股权投资基金财务顾问业务和私募财务顾问业务）。其中，私募投资类理财产品按自营类理财产品的具体内容进行审计，代理私募投资产品按代理类理财产品的具体内容进行审计，私募顾问业务具体审计内容（包括但不限于）如下：</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①综合管理：私募类理财业务的内部基础性工作管理情况。包括相关组织架构及管理模式、制度建设、操作流程设计、岗位设置及人员管理、信息管理、应急处理、检查与监督、会计核算管理、系统参数管理等。</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②业务管理与操作：合作方准入管理、行业与项目选择、客户选择、尽职调查、方案设计变更审批、合同文本管理、授信管理与审批、资金账户及使用监控、营销管理、重大事项报告、投后管理、投资退出与清算管理等。</w:t>
      </w:r>
    </w:p>
    <w:p>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（4）公募理财产品</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①按照财政部颁布的《企业会计准则》及《资产管理产品相关会计处理》（财会(2022)14号）等相关规定，编制的理财产品2023年12月31日的资产负债表、2023年度的利润表、现金流量表、净资产变动表以及相关财务报表附注。</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②公募理财产品销售管理的有效性、合理性、合规性；理财资金投资运作管理的合规性、有效性和风险性；理财产品信息披露的合规性；理财业务财务报表及其核算的真实性、准确性和合规性。</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③对财务报表的下列方面发表审计意见：a.财务报表是否在所有重大方面按照财政部颁布的《企业会计准则》及《资产管理产品相关会计处理》（财会(2022)14号）等的规定编制；b.财务报表是否在所有重大方面公允反映了理财产品2023年12月31日的财务状况，2023年度经营成果和现金流量。</w:t>
      </w:r>
    </w:p>
    <w:p>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（5）其他事项：</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前述以外的相关事项。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（二）项目周期</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拟于2024年6月下旬正式启动，并于2024年9月完成全部工作，项目实施阶段划分如下：</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第一阶段：2024年6月下旬为项目启动阶段，本阶段的工作任务包括：完成项目内部审批流程，签订项目合同。</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第二阶段：2024年7月上旬，为项目准备阶段，本阶段的工作任务包括：沟通审计方案，准备相关材料。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第三阶段：2024年7月中下旬，为项目具体实施阶段，本阶段的工作任务包括：实施现场审计，并完成初步审计报告。</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第四阶段：2024年9月，为项目报告阶段，本阶段的工作任务包括：出具正式审计报告，报告审计意见。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（三）项目流程</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制定项目方案和实施计划；按照方案计划和技术要求，开展审计；负责出具审计报告；其他需供应商支持配合的事项。</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具体包括：</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1.准备资料收集清单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2.编制项目工作时间表及工作计划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3.分析并识别业务流程的关键风险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4.主导对行领导及被审计部门主要部门领导进行访谈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5.与项目小组共同讨论，应用风险评估模版并进行使用讲解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6.主导进行风险评估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7.与项目小组分享行业最佳实践及案例情况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8.主导确定内部审计重点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9.主导进行审计方案的编写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10.就计划阶段的发现事项，与内部审计小组进行共同分析，并确定现场实施阶段相应的针对性跟进和审计程序 </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11.出具审计报告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三、项目要求</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（一）供应商要按项目整体要求，制订完善工作计划和可操作的工作进度安排，在审计人员进点后按计划具体组织实施；</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（二）供应商要确保相关人力资源的投入和人员的稳定，确保项目按期完成；</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（三）供应商参与</w:t>
      </w:r>
      <w:r>
        <w:rPr>
          <w:rFonts w:hint="eastAsia" w:ascii="方正仿宋_GBK" w:hAnsi="方正仿宋_GBK" w:eastAsia="方正仿宋_GBK" w:cs="方正仿宋_GBK"/>
          <w:color w:val="auto"/>
          <w:sz w:val="21"/>
          <w:szCs w:val="21"/>
          <w:lang w:val="en-US" w:eastAsia="zh-CN"/>
        </w:rPr>
        <w:t>本次审计项目的成员均应获得相关的资格认证（如CPA、CIA等）。</w:t>
      </w:r>
      <w:r>
        <w:rPr>
          <w:rFonts w:hint="eastAsia" w:ascii="方正仿宋_GBK" w:hAnsi="方正仿宋_GBK" w:eastAsia="方正仿宋_GBK" w:cs="方正仿宋_GBK"/>
          <w:sz w:val="21"/>
          <w:szCs w:val="21"/>
          <w:lang w:val="en-US" w:eastAsia="zh-CN"/>
        </w:rPr>
        <w:t>担任项目组现场工作的固定人员不得少于5人，其中项目经理必须为高级经理或总监，其他固定人员应为高级审计员或审计员，且均有银行业理财业务审计经验；另应指定一名合伙人作为本行项目的总协调人，以保证项目顺利进展。</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（四）供应商要建立有效的质量控制标准、监督和检测过程，确保项目达到目标。</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（五）供应商要遵守保密协议，维护银行信息安全。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四、项目工作成果</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供应商将完成以下工作成果，提交相关文档资料：</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（一）2023年度理财业务、理财产品分别出具审计报告；</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（二）与审计项目相关的工作底稿；</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（三）风险评估模板。</w:t>
      </w:r>
    </w:p>
    <w:p>
      <w:pPr>
        <w:spacing w:line="340" w:lineRule="exact"/>
        <w:rPr>
          <w:rFonts w:hint="default" w:ascii="方正仿宋_GBK" w:hAnsi="方正仿宋_GBK" w:eastAsia="方正仿宋_GBK" w:cs="方正仿宋_GBK"/>
          <w:b/>
          <w:bCs/>
          <w:szCs w:val="21"/>
          <w:lang w:val="en-US" w:eastAsia="zh-CN"/>
        </w:rPr>
      </w:pPr>
    </w:p>
    <w:p>
      <w:pPr>
        <w:spacing w:line="500" w:lineRule="exact"/>
        <w:jc w:val="center"/>
        <w:rPr>
          <w:rFonts w:ascii="方正仿宋_GBK" w:hAnsi="方正仿宋_GBK" w:eastAsia="方正仿宋_GBK" w:cs="方正仿宋_GBK"/>
          <w:b/>
          <w:sz w:val="32"/>
          <w:szCs w:val="32"/>
        </w:rPr>
      </w:pPr>
    </w:p>
    <w:p>
      <w:pPr>
        <w:pStyle w:val="52"/>
        <w:rPr>
          <w:rFonts w:ascii="方正仿宋_GBK" w:hAnsi="方正仿宋_GBK" w:eastAsia="方正仿宋_GBK" w:cs="方正仿宋_GBK"/>
          <w:color w:val="auto"/>
        </w:rPr>
      </w:pPr>
    </w:p>
    <w:p>
      <w:pPr>
        <w:pStyle w:val="52"/>
        <w:rPr>
          <w:rFonts w:ascii="方正仿宋_GBK" w:hAnsi="方正仿宋_GBK" w:eastAsia="方正仿宋_GBK" w:cs="方正仿宋_GBK"/>
          <w:color w:val="auto"/>
        </w:rPr>
      </w:pPr>
    </w:p>
    <w:p>
      <w:pPr>
        <w:pStyle w:val="52"/>
        <w:rPr>
          <w:rFonts w:ascii="方正仿宋_GBK" w:hAnsi="方正仿宋_GBK" w:eastAsia="方正仿宋_GBK" w:cs="方正仿宋_GBK"/>
          <w:color w:val="auto"/>
        </w:rPr>
      </w:pPr>
    </w:p>
    <w:p>
      <w:pPr>
        <w:rPr>
          <w:rFonts w:ascii="方正仿宋_GBK" w:hAnsi="方正仿宋_GBK" w:eastAsia="方正仿宋_GBK" w:cs="方正仿宋_GBK"/>
        </w:rPr>
      </w:pPr>
      <w:bookmarkStart w:id="6" w:name="_Toc58064535"/>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hint="eastAsia" w:ascii="方正仿宋_GBK" w:hAnsi="方正仿宋_GBK" w:eastAsia="方正仿宋_GBK" w:cs="方正仿宋_GBK"/>
          <w:b/>
          <w:sz w:val="32"/>
          <w:szCs w:val="32"/>
        </w:rPr>
      </w:pPr>
    </w:p>
    <w:p>
      <w:pPr>
        <w:spacing w:line="500" w:lineRule="exact"/>
        <w:jc w:val="center"/>
        <w:outlineLvl w:val="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第四章  磋商响应文件基本格式</w:t>
      </w:r>
      <w:bookmarkEnd w:id="6"/>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b/>
          <w:sz w:val="32"/>
          <w:szCs w:val="32"/>
        </w:rPr>
      </w:pPr>
    </w:p>
    <w:p>
      <w:pPr>
        <w:pStyle w:val="18"/>
        <w:jc w:val="right"/>
        <w:rPr>
          <w:rFonts w:hint="eastAsia" w:ascii="方正仿宋_GBK" w:hAnsi="方正仿宋_GBK" w:eastAsia="方正仿宋_GBK" w:cs="方正仿宋_GBK"/>
          <w:b/>
          <w:kern w:val="2"/>
          <w:sz w:val="32"/>
          <w:szCs w:val="32"/>
        </w:rPr>
      </w:pPr>
    </w:p>
    <w:p>
      <w:pPr>
        <w:pStyle w:val="18"/>
        <w:jc w:val="right"/>
        <w:rPr>
          <w:rFonts w:ascii="方正仿宋_GBK" w:hAnsi="方正仿宋_GBK" w:eastAsia="方正仿宋_GBK" w:cs="方正仿宋_GBK"/>
          <w:b/>
          <w:kern w:val="2"/>
          <w:sz w:val="32"/>
          <w:szCs w:val="32"/>
        </w:rPr>
      </w:pPr>
      <w:r>
        <w:rPr>
          <w:rFonts w:hint="eastAsia" w:ascii="方正仿宋_GBK" w:hAnsi="方正仿宋_GBK" w:eastAsia="方正仿宋_GBK" w:cs="方正仿宋_GBK"/>
          <w:b/>
          <w:kern w:val="2"/>
          <w:sz w:val="32"/>
          <w:szCs w:val="32"/>
        </w:rPr>
        <w:t>正本/副本</w:t>
      </w:r>
    </w:p>
    <w:p>
      <w:pPr>
        <w:pStyle w:val="52"/>
        <w:rPr>
          <w:rFonts w:ascii="方正仿宋_GBK" w:hAnsi="方正仿宋_GBK" w:eastAsia="方正仿宋_GBK" w:cs="方正仿宋_GBK"/>
          <w:color w:val="auto"/>
        </w:rPr>
      </w:pPr>
    </w:p>
    <w:p>
      <w:pPr>
        <w:pStyle w:val="52"/>
        <w:rPr>
          <w:rFonts w:ascii="方正仿宋_GBK" w:hAnsi="方正仿宋_GBK" w:eastAsia="方正仿宋_GBK" w:cs="方正仿宋_GBK"/>
          <w:color w:val="auto"/>
        </w:rPr>
      </w:pPr>
    </w:p>
    <w:p>
      <w:pPr>
        <w:pStyle w:val="52"/>
        <w:rPr>
          <w:rFonts w:ascii="方正仿宋_GBK" w:hAnsi="方正仿宋_GBK" w:eastAsia="方正仿宋_GBK" w:cs="方正仿宋_GBK"/>
          <w:color w:val="auto"/>
        </w:rPr>
      </w:pPr>
    </w:p>
    <w:p>
      <w:pPr>
        <w:pStyle w:val="52"/>
        <w:rPr>
          <w:rFonts w:ascii="方正仿宋_GBK" w:hAnsi="方正仿宋_GBK" w:eastAsia="方正仿宋_GBK" w:cs="方正仿宋_GBK"/>
          <w:color w:val="auto"/>
        </w:rPr>
      </w:pPr>
    </w:p>
    <w:p>
      <w:pPr>
        <w:pStyle w:val="52"/>
        <w:rPr>
          <w:rFonts w:ascii="方正仿宋_GBK" w:hAnsi="方正仿宋_GBK" w:eastAsia="方正仿宋_GBK" w:cs="方正仿宋_GBK"/>
          <w:color w:val="auto"/>
        </w:rPr>
      </w:pPr>
    </w:p>
    <w:p>
      <w:pPr>
        <w:spacing w:line="500" w:lineRule="exact"/>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竞争性磋商响应文件</w:t>
      </w:r>
    </w:p>
    <w:p>
      <w:pPr>
        <w:spacing w:line="500" w:lineRule="exact"/>
        <w:jc w:val="center"/>
        <w:rPr>
          <w:rFonts w:ascii="方正仿宋_GBK" w:hAnsi="方正仿宋_GBK" w:eastAsia="方正仿宋_GBK" w:cs="方正仿宋_GBK"/>
          <w:b/>
          <w:sz w:val="32"/>
          <w:szCs w:val="32"/>
        </w:rPr>
      </w:pPr>
    </w:p>
    <w:p>
      <w:pPr>
        <w:spacing w:line="500" w:lineRule="exact"/>
        <w:jc w:val="center"/>
        <w:rPr>
          <w:rFonts w:ascii="方正仿宋_GBK" w:hAnsi="方正仿宋_GBK" w:eastAsia="方正仿宋_GBK" w:cs="方正仿宋_GBK"/>
          <w:b/>
          <w:sz w:val="32"/>
          <w:szCs w:val="32"/>
        </w:rPr>
      </w:pPr>
    </w:p>
    <w:p>
      <w:pPr>
        <w:spacing w:line="500" w:lineRule="exact"/>
        <w:jc w:val="center"/>
        <w:rPr>
          <w:rFonts w:ascii="方正仿宋_GBK" w:hAnsi="方正仿宋_GBK" w:eastAsia="方正仿宋_GBK" w:cs="方正仿宋_GBK"/>
          <w:sz w:val="28"/>
          <w:szCs w:val="28"/>
        </w:rPr>
      </w:pPr>
    </w:p>
    <w:p>
      <w:pPr>
        <w:spacing w:line="500" w:lineRule="exact"/>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 xml:space="preserve">    </w:t>
      </w:r>
    </w:p>
    <w:p>
      <w:pPr>
        <w:tabs>
          <w:tab w:val="left" w:pos="3240"/>
        </w:tabs>
        <w:spacing w:line="500" w:lineRule="exact"/>
        <w:ind w:firstLine="560" w:firstLineChars="200"/>
        <w:rPr>
          <w:rFonts w:ascii="方正仿宋_GBK" w:hAnsi="方正仿宋_GBK" w:eastAsia="方正仿宋_GBK" w:cs="方正仿宋_GBK"/>
          <w:sz w:val="24"/>
          <w:u w:val="single"/>
        </w:rPr>
      </w:pPr>
      <w:r>
        <w:rPr>
          <w:rFonts w:hint="eastAsia" w:ascii="方正仿宋_GBK" w:hAnsi="方正仿宋_GBK" w:eastAsia="方正仿宋_GBK" w:cs="方正仿宋_GBK"/>
          <w:sz w:val="28"/>
          <w:szCs w:val="28"/>
        </w:rPr>
        <w:t>采购项目名称：</w:t>
      </w:r>
    </w:p>
    <w:p>
      <w:pPr>
        <w:spacing w:line="50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采购项目编号：</w:t>
      </w:r>
    </w:p>
    <w:p>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竞标人单位全称（盖章）：                   </w:t>
      </w:r>
    </w:p>
    <w:p>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竞标人地址：                   </w:t>
      </w:r>
    </w:p>
    <w:p>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联系人：                   </w:t>
      </w:r>
    </w:p>
    <w:p>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联系电话：                   </w:t>
      </w:r>
    </w:p>
    <w:p>
      <w:pPr>
        <w:spacing w:line="500" w:lineRule="exact"/>
        <w:ind w:firstLine="560" w:firstLineChars="200"/>
        <w:rPr>
          <w:rFonts w:ascii="方正仿宋_GBK" w:hAnsi="方正仿宋_GBK" w:eastAsia="方正仿宋_GBK" w:cs="方正仿宋_GBK"/>
          <w:sz w:val="28"/>
          <w:szCs w:val="28"/>
        </w:rPr>
      </w:pPr>
    </w:p>
    <w:p>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于开标前不得启封</w:t>
      </w:r>
    </w:p>
    <w:p>
      <w:pPr>
        <w:spacing w:line="500" w:lineRule="exact"/>
        <w:ind w:firstLine="560" w:firstLineChars="200"/>
        <w:rPr>
          <w:rFonts w:ascii="方正仿宋_GBK" w:hAnsi="方正仿宋_GBK" w:eastAsia="方正仿宋_GBK" w:cs="方正仿宋_GBK"/>
          <w:sz w:val="28"/>
          <w:szCs w:val="28"/>
        </w:rPr>
      </w:pPr>
    </w:p>
    <w:p>
      <w:pPr>
        <w:spacing w:line="500" w:lineRule="exact"/>
        <w:ind w:firstLine="560" w:firstLineChars="200"/>
        <w:rPr>
          <w:rFonts w:ascii="方正仿宋_GBK" w:hAnsi="方正仿宋_GBK" w:eastAsia="方正仿宋_GBK" w:cs="方正仿宋_GBK"/>
          <w:sz w:val="28"/>
          <w:szCs w:val="28"/>
        </w:rPr>
      </w:pPr>
    </w:p>
    <w:p>
      <w:pPr>
        <w:spacing w:line="50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2024年   月   日</w:t>
      </w:r>
    </w:p>
    <w:p>
      <w:pPr>
        <w:pStyle w:val="18"/>
        <w:rPr>
          <w:rFonts w:ascii="方正仿宋_GBK" w:hAnsi="方正仿宋_GBK" w:eastAsia="方正仿宋_GBK" w:cs="方正仿宋_GBK"/>
        </w:rPr>
      </w:pPr>
    </w:p>
    <w:p>
      <w:pPr>
        <w:spacing w:line="320" w:lineRule="exact"/>
        <w:rPr>
          <w:rFonts w:ascii="方正仿宋_GBK" w:hAnsi="方正仿宋_GBK" w:eastAsia="方正仿宋_GBK" w:cs="方正仿宋_GBK"/>
          <w:szCs w:val="21"/>
        </w:rPr>
      </w:pPr>
    </w:p>
    <w:p>
      <w:pPr>
        <w:spacing w:line="320" w:lineRule="exact"/>
        <w:rPr>
          <w:rFonts w:ascii="方正仿宋_GBK" w:hAnsi="方正仿宋_GBK" w:eastAsia="方正仿宋_GBK" w:cs="方正仿宋_GBK"/>
          <w:szCs w:val="21"/>
        </w:rPr>
      </w:pPr>
    </w:p>
    <w:p>
      <w:pPr>
        <w:spacing w:line="320" w:lineRule="exact"/>
        <w:rPr>
          <w:rFonts w:ascii="方正仿宋_GBK" w:hAnsi="方正仿宋_GBK" w:eastAsia="方正仿宋_GBK" w:cs="方正仿宋_GBK"/>
          <w:szCs w:val="21"/>
        </w:rPr>
      </w:pPr>
    </w:p>
    <w:p>
      <w:pPr>
        <w:pStyle w:val="2"/>
      </w:pPr>
    </w:p>
    <w:p>
      <w:pPr>
        <w:pStyle w:val="22"/>
        <w:spacing w:line="400" w:lineRule="exact"/>
        <w:rPr>
          <w:rFonts w:ascii="方正仿宋_GBK" w:hAnsi="方正仿宋_GBK" w:eastAsia="方正仿宋_GBK" w:cs="方正仿宋_GBK"/>
          <w:b/>
          <w:sz w:val="28"/>
          <w:szCs w:val="28"/>
        </w:rPr>
      </w:pPr>
      <w:r>
        <w:rPr>
          <w:rFonts w:hint="eastAsia" w:ascii="方正仿宋_GBK" w:hAnsi="方正仿宋_GBK" w:eastAsia="方正仿宋_GBK" w:cs="方正仿宋_GBK"/>
          <w:kern w:val="0"/>
          <w:sz w:val="32"/>
          <w:szCs w:val="32"/>
        </w:rPr>
        <w:t>一、磋商书（格式）</w:t>
      </w:r>
    </w:p>
    <w:p>
      <w:pPr>
        <w:spacing w:line="520" w:lineRule="exact"/>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磋  商  书</w:t>
      </w:r>
    </w:p>
    <w:p>
      <w:pPr>
        <w:pStyle w:val="22"/>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广西北部湾银行股份有限公司</w:t>
      </w:r>
      <w:r>
        <w:rPr>
          <w:rFonts w:hint="eastAsia" w:ascii="方正仿宋_GBK" w:hAnsi="方正仿宋_GBK" w:eastAsia="方正仿宋_GBK" w:cs="方正仿宋_GBK"/>
          <w:sz w:val="28"/>
          <w:szCs w:val="28"/>
        </w:rPr>
        <w:t>：</w:t>
      </w:r>
    </w:p>
    <w:p>
      <w:pPr>
        <w:pStyle w:val="22"/>
        <w:spacing w:line="520" w:lineRule="exact"/>
        <w:ind w:firstLine="48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依据贵方</w:t>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b/>
          <w:bCs/>
          <w:sz w:val="28"/>
          <w:szCs w:val="28"/>
          <w:u w:val="single"/>
        </w:rPr>
        <w:t>XX</w:t>
      </w:r>
      <w:r>
        <w:rPr>
          <w:rFonts w:hint="eastAsia" w:ascii="方正仿宋_GBK" w:hAnsi="方正仿宋_GBK" w:eastAsia="方正仿宋_GBK" w:cs="方正仿宋_GBK"/>
          <w:b/>
          <w:sz w:val="28"/>
          <w:szCs w:val="28"/>
          <w:u w:val="single"/>
        </w:rPr>
        <w:t>/项目编号：XX</w:t>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sz w:val="28"/>
          <w:szCs w:val="28"/>
        </w:rPr>
        <w:t>项目采购的磋商邀请，我方</w:t>
      </w:r>
      <w:r>
        <w:rPr>
          <w:rFonts w:hint="eastAsia" w:ascii="方正仿宋_GBK" w:hAnsi="方正仿宋_GBK" w:eastAsia="方正仿宋_GBK" w:cs="方正仿宋_GBK"/>
          <w:sz w:val="28"/>
          <w:szCs w:val="28"/>
          <w:u w:val="single"/>
        </w:rPr>
        <w:t>（姓名：     身份证号：   职务：    ）</w:t>
      </w:r>
      <w:r>
        <w:rPr>
          <w:rFonts w:hint="eastAsia" w:ascii="方正仿宋_GBK" w:hAnsi="方正仿宋_GBK" w:eastAsia="方正仿宋_GBK" w:cs="方正仿宋_GBK"/>
          <w:sz w:val="28"/>
          <w:szCs w:val="28"/>
        </w:rPr>
        <w:t>经正式授权并代表磋商供应商</w:t>
      </w:r>
      <w:r>
        <w:rPr>
          <w:rFonts w:hint="eastAsia" w:ascii="方正仿宋_GBK" w:hAnsi="方正仿宋_GBK" w:eastAsia="方正仿宋_GBK" w:cs="方正仿宋_GBK"/>
          <w:sz w:val="28"/>
          <w:szCs w:val="28"/>
          <w:u w:val="single"/>
        </w:rPr>
        <w:t>（磋商供应商名称、地址）</w:t>
      </w:r>
      <w:r>
        <w:rPr>
          <w:rFonts w:hint="eastAsia" w:ascii="方正仿宋_GBK" w:hAnsi="方正仿宋_GBK" w:eastAsia="方正仿宋_GBK" w:cs="方正仿宋_GBK"/>
          <w:sz w:val="28"/>
          <w:szCs w:val="28"/>
        </w:rPr>
        <w:t>提交下述竞争性磋商响应文件（价格、商务、技术文件）</w:t>
      </w:r>
      <w:r>
        <w:rPr>
          <w:rFonts w:hint="eastAsia" w:ascii="方正仿宋_GBK" w:hAnsi="方正仿宋_GBK" w:eastAsia="方正仿宋_GBK" w:cs="方正仿宋_GBK"/>
          <w:color w:val="auto"/>
          <w:sz w:val="28"/>
          <w:szCs w:val="28"/>
        </w:rPr>
        <w:t>正本一份和副本二份。</w:t>
      </w:r>
    </w:p>
    <w:p>
      <w:pPr>
        <w:pStyle w:val="22"/>
        <w:spacing w:line="52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 磋商书；</w:t>
      </w:r>
    </w:p>
    <w:p>
      <w:pPr>
        <w:pStyle w:val="22"/>
        <w:spacing w:line="52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磋商报价；</w:t>
      </w:r>
    </w:p>
    <w:p>
      <w:pPr>
        <w:pStyle w:val="22"/>
        <w:spacing w:line="52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 资格证明文件；</w:t>
      </w:r>
    </w:p>
    <w:p>
      <w:pPr>
        <w:pStyle w:val="22"/>
        <w:spacing w:line="52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4.按竞争性磋商采购文件和货物（服务）内容要求提供相关文件；</w:t>
      </w:r>
    </w:p>
    <w:p>
      <w:pPr>
        <w:pStyle w:val="22"/>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在此，授权代表宣布同意如下：</w:t>
      </w:r>
    </w:p>
    <w:p>
      <w:pPr>
        <w:pStyle w:val="22"/>
        <w:spacing w:line="52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 将按竞争性磋商采购文件的约定履行合同责任和义务；</w:t>
      </w:r>
    </w:p>
    <w:p>
      <w:pPr>
        <w:pStyle w:val="22"/>
        <w:spacing w:line="520" w:lineRule="exact"/>
        <w:ind w:left="840" w:hanging="36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已详细审查全部竞争性磋商采购文件，包括</w:t>
      </w:r>
      <w:r>
        <w:rPr>
          <w:rFonts w:hint="eastAsia" w:ascii="方正仿宋_GBK" w:hAnsi="方正仿宋_GBK" w:eastAsia="方正仿宋_GBK" w:cs="方正仿宋_GBK"/>
          <w:sz w:val="28"/>
          <w:szCs w:val="28"/>
          <w:u w:val="single"/>
        </w:rPr>
        <w:t>（补遗书）（如果有的话）</w:t>
      </w:r>
      <w:r>
        <w:rPr>
          <w:rFonts w:hint="eastAsia" w:ascii="方正仿宋_GBK" w:hAnsi="方正仿宋_GBK" w:eastAsia="方正仿宋_GBK" w:cs="方正仿宋_GBK"/>
          <w:sz w:val="28"/>
          <w:szCs w:val="28"/>
        </w:rPr>
        <w:t>；我们完全理解并同意放弃对这方面有不明及误解的权力；</w:t>
      </w:r>
    </w:p>
    <w:p>
      <w:pPr>
        <w:pStyle w:val="22"/>
        <w:spacing w:line="520" w:lineRule="exact"/>
        <w:ind w:left="840" w:hanging="36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 同意提供按照贵方可能要求的与其磋商有关的一切数据或资料；</w:t>
      </w:r>
    </w:p>
    <w:p>
      <w:pPr>
        <w:pStyle w:val="22"/>
        <w:spacing w:line="520" w:lineRule="exact"/>
        <w:ind w:firstLine="48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4. 与本磋商有关的一切正式往来信函请寄：</w:t>
      </w:r>
      <w:r>
        <w:rPr>
          <w:rFonts w:hint="eastAsia" w:ascii="方正仿宋_GBK" w:hAnsi="方正仿宋_GBK" w:eastAsia="方正仿宋_GBK" w:cs="方正仿宋_GBK"/>
          <w:sz w:val="28"/>
          <w:szCs w:val="28"/>
          <w:u w:val="single"/>
        </w:rPr>
        <w:t xml:space="preserve">                       </w:t>
      </w:r>
    </w:p>
    <w:p>
      <w:pPr>
        <w:pStyle w:val="22"/>
        <w:spacing w:line="520" w:lineRule="exact"/>
        <w:ind w:firstLine="840" w:firstLineChars="3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电话/传真：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电子函件：</w:t>
      </w:r>
      <w:r>
        <w:rPr>
          <w:rFonts w:hint="eastAsia" w:ascii="方正仿宋_GBK" w:hAnsi="方正仿宋_GBK" w:eastAsia="方正仿宋_GBK" w:cs="方正仿宋_GBK"/>
          <w:sz w:val="28"/>
          <w:szCs w:val="28"/>
          <w:u w:val="single"/>
        </w:rPr>
        <w:t xml:space="preserve">                       </w:t>
      </w:r>
    </w:p>
    <w:p>
      <w:pPr>
        <w:pStyle w:val="22"/>
        <w:spacing w:line="520" w:lineRule="exact"/>
        <w:ind w:firstLine="84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法定代表人或委托代理人签字或盖章：</w:t>
      </w:r>
      <w:r>
        <w:rPr>
          <w:rFonts w:hint="eastAsia" w:ascii="方正仿宋_GBK" w:hAnsi="方正仿宋_GBK" w:eastAsia="方正仿宋_GBK" w:cs="方正仿宋_GBK"/>
          <w:sz w:val="28"/>
          <w:szCs w:val="28"/>
          <w:u w:val="single"/>
        </w:rPr>
        <w:t xml:space="preserve">                       </w:t>
      </w:r>
    </w:p>
    <w:p>
      <w:pPr>
        <w:pStyle w:val="22"/>
        <w:spacing w:line="520" w:lineRule="exact"/>
        <w:ind w:firstLine="84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磋商供应商名称（盖章）：</w:t>
      </w:r>
      <w:r>
        <w:rPr>
          <w:rFonts w:hint="eastAsia" w:ascii="方正仿宋_GBK" w:hAnsi="方正仿宋_GBK" w:eastAsia="方正仿宋_GBK" w:cs="方正仿宋_GBK"/>
          <w:sz w:val="28"/>
          <w:szCs w:val="28"/>
          <w:u w:val="single"/>
        </w:rPr>
        <w:t xml:space="preserve">                       </w:t>
      </w:r>
    </w:p>
    <w:p>
      <w:pPr>
        <w:pStyle w:val="22"/>
        <w:spacing w:line="520" w:lineRule="exact"/>
        <w:ind w:firstLine="84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u w:val="single"/>
        </w:rPr>
        <w:t xml:space="preserve">     年  月   日</w:t>
      </w:r>
    </w:p>
    <w:p>
      <w:pPr>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r>
        <w:rPr>
          <w:rFonts w:hint="eastAsia" w:ascii="方正仿宋_GBK" w:hAnsi="方正仿宋_GBK" w:eastAsia="方正仿宋_GBK" w:cs="方正仿宋_GBK"/>
          <w:kern w:val="0"/>
          <w:sz w:val="32"/>
          <w:szCs w:val="32"/>
        </w:rPr>
        <w:t>二、磋商报价表（格式）</w:t>
      </w:r>
    </w:p>
    <w:p>
      <w:pPr>
        <w:spacing w:line="500" w:lineRule="exact"/>
        <w:rPr>
          <w:rFonts w:ascii="方正仿宋_GBK" w:hAnsi="方正仿宋_GBK" w:eastAsia="方正仿宋_GBK" w:cs="方正仿宋_GBK"/>
          <w:sz w:val="28"/>
          <w:szCs w:val="28"/>
        </w:rPr>
      </w:pPr>
    </w:p>
    <w:p>
      <w:pPr>
        <w:spacing w:line="500" w:lineRule="exact"/>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磋商报价表</w:t>
      </w:r>
    </w:p>
    <w:p>
      <w:pPr>
        <w:spacing w:line="500" w:lineRule="exact"/>
        <w:ind w:firstLine="480" w:firstLineChars="200"/>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项目编号:</w:t>
      </w:r>
      <w:r>
        <w:rPr>
          <w:rFonts w:hint="eastAsia" w:ascii="方正仿宋_GBK" w:hAnsi="方正仿宋_GBK" w:eastAsia="方正仿宋_GBK" w:cs="方正仿宋_GBK"/>
          <w:sz w:val="24"/>
          <w:u w:val="single"/>
        </w:rPr>
        <w:t xml:space="preserve">                      </w:t>
      </w:r>
    </w:p>
    <w:p>
      <w:pPr>
        <w:spacing w:line="500" w:lineRule="exact"/>
        <w:ind w:firstLine="480" w:firstLineChars="200"/>
        <w:rPr>
          <w:rFonts w:ascii="方正仿宋_GBK" w:hAnsi="方正仿宋_GBK" w:eastAsia="方正仿宋_GBK" w:cs="方正仿宋_GBK"/>
          <w:sz w:val="24"/>
          <w:u w:val="single"/>
        </w:rPr>
      </w:pPr>
      <w:r>
        <w:rPr>
          <w:rFonts w:hint="eastAsia" w:ascii="方正仿宋_GBK" w:hAnsi="方正仿宋_GBK" w:eastAsia="方正仿宋_GBK" w:cs="方正仿宋_GBK"/>
          <w:bCs/>
          <w:sz w:val="24"/>
        </w:rPr>
        <w:t>项目名称:</w:t>
      </w:r>
      <w:r>
        <w:rPr>
          <w:rFonts w:hint="eastAsia" w:ascii="方正仿宋_GBK" w:hAnsi="方正仿宋_GBK" w:eastAsia="方正仿宋_GBK" w:cs="方正仿宋_GBK"/>
          <w:sz w:val="24"/>
          <w:u w:val="single"/>
        </w:rPr>
        <w:t xml:space="preserve">                      </w:t>
      </w:r>
    </w:p>
    <w:p>
      <w:pPr>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分标号(如有)：</w:t>
      </w:r>
      <w:r>
        <w:rPr>
          <w:rFonts w:hint="eastAsia" w:ascii="方正仿宋_GBK" w:hAnsi="方正仿宋_GBK" w:eastAsia="方正仿宋_GBK" w:cs="方正仿宋_GBK"/>
          <w:sz w:val="24"/>
          <w:u w:val="single"/>
        </w:rPr>
        <w:t xml:space="preserve">                 </w:t>
      </w:r>
    </w:p>
    <w:p>
      <w:pPr>
        <w:spacing w:before="120" w:line="22" w:lineRule="atLeast"/>
        <w:rPr>
          <w:rFonts w:ascii="方正仿宋_GBK" w:hAnsi="方正仿宋_GBK" w:eastAsia="方正仿宋_GBK" w:cs="方正仿宋_GBK"/>
          <w:b/>
          <w:bCs/>
          <w:caps/>
          <w:sz w:val="28"/>
          <w:szCs w:val="28"/>
        </w:rPr>
      </w:pPr>
    </w:p>
    <w:tbl>
      <w:tblPr>
        <w:tblStyle w:val="43"/>
        <w:tblpPr w:leftFromText="180" w:rightFromText="180" w:vertAnchor="text" w:horzAnchor="page" w:tblpX="1485" w:tblpY="540"/>
        <w:tblOverlap w:val="never"/>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02"/>
        <w:gridCol w:w="1863"/>
        <w:gridCol w:w="3138"/>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51" w:hRule="atLeast"/>
        </w:trPr>
        <w:tc>
          <w:tcPr>
            <w:tcW w:w="702" w:type="dxa"/>
            <w:vAlign w:val="center"/>
          </w:tcPr>
          <w:p>
            <w:pPr>
              <w:jc w:val="center"/>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序号</w:t>
            </w:r>
          </w:p>
        </w:tc>
        <w:tc>
          <w:tcPr>
            <w:tcW w:w="1863" w:type="dxa"/>
            <w:vAlign w:val="center"/>
          </w:tcPr>
          <w:p>
            <w:pPr>
              <w:jc w:val="center"/>
              <w:rPr>
                <w:rFonts w:hint="eastAsia" w:ascii="方正仿宋_GBK" w:hAnsi="方正仿宋_GBK" w:eastAsia="方正仿宋_GBK" w:cs="方正仿宋_GBK"/>
                <w:sz w:val="24"/>
                <w:szCs w:val="28"/>
                <w:highlight w:val="none"/>
                <w:lang w:eastAsia="zh-CN"/>
              </w:rPr>
            </w:pPr>
            <w:r>
              <w:rPr>
                <w:rFonts w:hint="eastAsia" w:ascii="方正仿宋_GBK" w:hAnsi="方正仿宋_GBK" w:eastAsia="方正仿宋_GBK" w:cs="方正仿宋_GBK"/>
                <w:sz w:val="24"/>
                <w:szCs w:val="28"/>
                <w:highlight w:val="none"/>
                <w:lang w:eastAsia="zh-CN"/>
              </w:rPr>
              <w:t>服务名称</w:t>
            </w:r>
          </w:p>
        </w:tc>
        <w:tc>
          <w:tcPr>
            <w:tcW w:w="3138" w:type="dxa"/>
            <w:vAlign w:val="center"/>
          </w:tcPr>
          <w:p>
            <w:pPr>
              <w:jc w:val="center"/>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含税报价（元）</w:t>
            </w:r>
          </w:p>
        </w:tc>
        <w:tc>
          <w:tcPr>
            <w:tcW w:w="3125" w:type="dxa"/>
            <w:vAlign w:val="center"/>
          </w:tcPr>
          <w:p>
            <w:pPr>
              <w:jc w:val="center"/>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4" w:hRule="atLeast"/>
        </w:trPr>
        <w:tc>
          <w:tcPr>
            <w:tcW w:w="702" w:type="dxa"/>
            <w:vAlign w:val="center"/>
          </w:tcPr>
          <w:p>
            <w:pPr>
              <w:jc w:val="center"/>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1</w:t>
            </w:r>
          </w:p>
        </w:tc>
        <w:tc>
          <w:tcPr>
            <w:tcW w:w="1863" w:type="dxa"/>
            <w:vAlign w:val="center"/>
          </w:tcPr>
          <w:p>
            <w:pPr>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lang w:eastAsia="zh-CN"/>
              </w:rPr>
              <w:t>理财业务审计</w:t>
            </w:r>
          </w:p>
        </w:tc>
        <w:tc>
          <w:tcPr>
            <w:tcW w:w="3138" w:type="dxa"/>
            <w:vAlign w:val="center"/>
          </w:tcPr>
          <w:p>
            <w:pPr>
              <w:jc w:val="center"/>
              <w:rPr>
                <w:rFonts w:ascii="方正仿宋_GBK" w:hAnsi="方正仿宋_GBK" w:eastAsia="方正仿宋_GBK" w:cs="方正仿宋_GBK"/>
                <w:sz w:val="24"/>
                <w:szCs w:val="28"/>
                <w:highlight w:val="none"/>
              </w:rPr>
            </w:pPr>
          </w:p>
        </w:tc>
        <w:tc>
          <w:tcPr>
            <w:tcW w:w="3125" w:type="dxa"/>
            <w:vMerge w:val="restart"/>
            <w:vAlign w:val="center"/>
          </w:tcPr>
          <w:p>
            <w:pPr>
              <w:jc w:val="center"/>
              <w:rPr>
                <w:rFonts w:hint="eastAsia" w:ascii="方正仿宋_GBK" w:hAnsi="方正仿宋_GBK" w:eastAsia="方正仿宋_GBK" w:cs="方正仿宋_GBK"/>
                <w:sz w:val="24"/>
                <w:szCs w:val="28"/>
                <w:highlight w:val="none"/>
              </w:rPr>
            </w:pPr>
            <w:r>
              <w:rPr>
                <w:rFonts w:hint="eastAsia" w:ascii="仿宋" w:hAnsi="仿宋" w:eastAsia="仿宋" w:cs="仿宋"/>
                <w:color w:val="auto"/>
                <w:sz w:val="24"/>
                <w:szCs w:val="24"/>
                <w:highlight w:val="none"/>
              </w:rPr>
              <w:t>增值税率为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4" w:hRule="atLeast"/>
        </w:trPr>
        <w:tc>
          <w:tcPr>
            <w:tcW w:w="702" w:type="dxa"/>
            <w:vAlign w:val="center"/>
          </w:tcPr>
          <w:p>
            <w:pPr>
              <w:jc w:val="center"/>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2</w:t>
            </w:r>
          </w:p>
        </w:tc>
        <w:tc>
          <w:tcPr>
            <w:tcW w:w="1863" w:type="dxa"/>
            <w:vAlign w:val="center"/>
          </w:tcPr>
          <w:p>
            <w:pPr>
              <w:rPr>
                <w:rFonts w:hint="eastAsia" w:ascii="方正仿宋_GBK" w:hAnsi="方正仿宋_GBK" w:eastAsia="方正仿宋_GBK" w:cs="方正仿宋_GBK"/>
                <w:sz w:val="24"/>
                <w:szCs w:val="28"/>
                <w:highlight w:val="none"/>
                <w:lang w:eastAsia="zh-CN"/>
              </w:rPr>
            </w:pPr>
            <w:r>
              <w:rPr>
                <w:rFonts w:hint="eastAsia" w:ascii="方正仿宋_GBK" w:hAnsi="方正仿宋_GBK" w:eastAsia="方正仿宋_GBK" w:cs="方正仿宋_GBK"/>
                <w:sz w:val="24"/>
                <w:szCs w:val="28"/>
                <w:highlight w:val="none"/>
                <w:lang w:eastAsia="zh-CN"/>
              </w:rPr>
              <w:t>理财产品审计</w:t>
            </w:r>
          </w:p>
        </w:tc>
        <w:tc>
          <w:tcPr>
            <w:tcW w:w="3138" w:type="dxa"/>
            <w:vAlign w:val="center"/>
          </w:tcPr>
          <w:p>
            <w:pPr>
              <w:jc w:val="center"/>
              <w:rPr>
                <w:rFonts w:ascii="方正仿宋_GBK" w:hAnsi="方正仿宋_GBK" w:eastAsia="方正仿宋_GBK" w:cs="方正仿宋_GBK"/>
                <w:sz w:val="24"/>
                <w:szCs w:val="28"/>
              </w:rPr>
            </w:pPr>
          </w:p>
        </w:tc>
        <w:tc>
          <w:tcPr>
            <w:tcW w:w="3125" w:type="dxa"/>
            <w:vMerge w:val="continue"/>
            <w:vAlign w:val="center"/>
          </w:tcPr>
          <w:p>
            <w:pPr>
              <w:jc w:val="center"/>
              <w:rPr>
                <w:rFonts w:ascii="方正仿宋_GBK" w:hAnsi="方正仿宋_GBK" w:eastAsia="方正仿宋_GBK" w:cs="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4" w:hRule="atLeast"/>
        </w:trPr>
        <w:tc>
          <w:tcPr>
            <w:tcW w:w="8828" w:type="dxa"/>
            <w:gridSpan w:val="4"/>
            <w:vAlign w:val="center"/>
          </w:tcPr>
          <w:p>
            <w:pPr>
              <w:jc w:val="both"/>
              <w:rPr>
                <w:rFonts w:hint="default" w:ascii="方正仿宋_GBK" w:hAnsi="方正仿宋_GBK" w:eastAsia="方正仿宋_GBK" w:cs="方正仿宋_GBK"/>
                <w:sz w:val="24"/>
                <w:szCs w:val="28"/>
                <w:lang w:val="en-US" w:eastAsia="zh-CN"/>
              </w:rPr>
            </w:pPr>
            <w:r>
              <w:rPr>
                <w:rFonts w:hint="eastAsia" w:ascii="仿宋" w:hAnsi="仿宋" w:eastAsia="仿宋"/>
                <w:b/>
                <w:sz w:val="24"/>
              </w:rPr>
              <w:t>合计总金额</w:t>
            </w:r>
            <w:r>
              <w:rPr>
                <w:rFonts w:hint="eastAsia" w:ascii="仿宋" w:hAnsi="仿宋" w:eastAsia="仿宋"/>
                <w:b/>
                <w:spacing w:val="20"/>
                <w:sz w:val="24"/>
              </w:rPr>
              <w:t>（</w:t>
            </w:r>
            <w:r>
              <w:rPr>
                <w:rFonts w:hint="eastAsia" w:ascii="仿宋" w:hAnsi="仿宋" w:eastAsia="仿宋"/>
                <w:b/>
                <w:sz w:val="24"/>
              </w:rPr>
              <w:t>大写）：</w:t>
            </w:r>
            <w:r>
              <w:rPr>
                <w:rFonts w:hint="eastAsia" w:ascii="仿宋" w:hAnsi="仿宋" w:eastAsia="仿宋"/>
                <w:b/>
                <w:spacing w:val="20"/>
                <w:sz w:val="24"/>
                <w:u w:val="single"/>
              </w:rPr>
              <w:t>人民币</w:t>
            </w:r>
            <w:r>
              <w:rPr>
                <w:rFonts w:hint="eastAsia" w:ascii="仿宋" w:hAnsi="仿宋" w:eastAsia="仿宋"/>
                <w:b/>
                <w:sz w:val="24"/>
                <w:u w:val="single"/>
              </w:rPr>
              <w:t xml:space="preserve">                  元整</w:t>
            </w:r>
            <w:r>
              <w:rPr>
                <w:rFonts w:hint="eastAsia" w:ascii="仿宋" w:hAnsi="仿宋" w:eastAsia="仿宋"/>
                <w:b/>
                <w:spacing w:val="20"/>
                <w:sz w:val="24"/>
                <w:u w:val="single"/>
              </w:rPr>
              <w:t>（</w:t>
            </w:r>
            <w:r>
              <w:rPr>
                <w:rFonts w:eastAsia="仿宋" w:cs="Calibri"/>
                <w:b/>
                <w:spacing w:val="20"/>
                <w:sz w:val="24"/>
                <w:u w:val="single"/>
              </w:rPr>
              <w:t>¥</w:t>
            </w:r>
            <w:r>
              <w:rPr>
                <w:rFonts w:hint="eastAsia" w:ascii="仿宋" w:hAnsi="仿宋" w:eastAsia="仿宋"/>
                <w:b/>
                <w:spacing w:val="20"/>
                <w:sz w:val="24"/>
                <w:u w:val="single"/>
              </w:rPr>
              <w:t xml:space="preserve">               </w:t>
            </w:r>
            <w:r>
              <w:rPr>
                <w:rFonts w:hint="eastAsia" w:ascii="仿宋" w:hAnsi="仿宋" w:eastAsia="仿宋"/>
                <w:b/>
                <w:spacing w:val="20"/>
                <w:sz w:val="24"/>
              </w:rPr>
              <w:t>）</w:t>
            </w:r>
          </w:p>
        </w:tc>
      </w:tr>
    </w:tbl>
    <w:p>
      <w:pPr>
        <w:spacing w:before="120" w:line="22" w:lineRule="atLeast"/>
        <w:rPr>
          <w:rFonts w:ascii="方正仿宋_GBK" w:hAnsi="方正仿宋_GBK" w:eastAsia="方正仿宋_GBK" w:cs="方正仿宋_GBK"/>
          <w:b/>
          <w:bCs/>
          <w:caps/>
          <w:sz w:val="28"/>
          <w:szCs w:val="28"/>
        </w:rPr>
      </w:pPr>
    </w:p>
    <w:p>
      <w:pPr>
        <w:spacing w:before="120" w:line="22" w:lineRule="atLeast"/>
        <w:jc w:val="center"/>
        <w:rPr>
          <w:rFonts w:ascii="方正仿宋_GBK" w:hAnsi="方正仿宋_GBK" w:eastAsia="方正仿宋_GBK" w:cs="方正仿宋_GBK"/>
          <w:b/>
          <w:bCs/>
          <w:caps/>
          <w:sz w:val="28"/>
          <w:szCs w:val="28"/>
        </w:rPr>
      </w:pPr>
    </w:p>
    <w:p>
      <w:pPr>
        <w:spacing w:before="120" w:line="22" w:lineRule="atLeast"/>
        <w:jc w:val="center"/>
        <w:rPr>
          <w:rFonts w:ascii="方正仿宋_GBK" w:hAnsi="方正仿宋_GBK" w:eastAsia="方正仿宋_GBK" w:cs="方正仿宋_GBK"/>
          <w:b/>
          <w:bCs/>
          <w:caps/>
          <w:sz w:val="28"/>
          <w:szCs w:val="28"/>
        </w:rPr>
      </w:pPr>
    </w:p>
    <w:p>
      <w:pPr>
        <w:spacing w:before="120" w:line="22" w:lineRule="atLeast"/>
        <w:jc w:val="center"/>
        <w:rPr>
          <w:rFonts w:ascii="方正仿宋_GBK" w:hAnsi="方正仿宋_GBK" w:eastAsia="方正仿宋_GBK" w:cs="方正仿宋_GBK"/>
          <w:b/>
          <w:bCs/>
          <w:caps/>
          <w:sz w:val="28"/>
          <w:szCs w:val="28"/>
        </w:rPr>
      </w:pPr>
    </w:p>
    <w:p>
      <w:pPr>
        <w:pStyle w:val="22"/>
        <w:spacing w:line="480" w:lineRule="auto"/>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法定代表人或委托代理人签字或盖章：</w:t>
      </w:r>
      <w:r>
        <w:rPr>
          <w:rFonts w:hint="eastAsia" w:ascii="方正仿宋_GBK" w:hAnsi="方正仿宋_GBK" w:eastAsia="方正仿宋_GBK" w:cs="方正仿宋_GBK"/>
          <w:sz w:val="28"/>
          <w:szCs w:val="28"/>
          <w:u w:val="single"/>
        </w:rPr>
        <w:t xml:space="preserve">                       </w:t>
      </w:r>
    </w:p>
    <w:p>
      <w:pPr>
        <w:pStyle w:val="22"/>
        <w:spacing w:line="480" w:lineRule="auto"/>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磋商供应商名称（盖章）：</w:t>
      </w:r>
      <w:r>
        <w:rPr>
          <w:rFonts w:hint="eastAsia" w:ascii="方正仿宋_GBK" w:hAnsi="方正仿宋_GBK" w:eastAsia="方正仿宋_GBK" w:cs="方正仿宋_GBK"/>
          <w:sz w:val="28"/>
          <w:szCs w:val="28"/>
          <w:u w:val="single"/>
        </w:rPr>
        <w:t xml:space="preserve">                       </w:t>
      </w:r>
    </w:p>
    <w:p>
      <w:pPr>
        <w:pStyle w:val="22"/>
        <w:spacing w:line="480" w:lineRule="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   期：</w:t>
      </w:r>
      <w:r>
        <w:rPr>
          <w:rFonts w:hint="eastAsia" w:ascii="方正仿宋_GBK" w:hAnsi="方正仿宋_GBK" w:eastAsia="方正仿宋_GBK" w:cs="方正仿宋_GBK"/>
          <w:sz w:val="28"/>
          <w:szCs w:val="28"/>
          <w:u w:val="single"/>
        </w:rPr>
        <w:t xml:space="preserve">                       </w:t>
      </w: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spacing w:line="300" w:lineRule="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w:t>
      </w:r>
      <w:r>
        <w:rPr>
          <w:rFonts w:hint="eastAsia" w:ascii="方正仿宋_GBK" w:hAnsi="方正仿宋_GBK" w:eastAsia="方正仿宋_GBK" w:cs="方正仿宋_GBK"/>
          <w:bCs/>
          <w:kern w:val="0"/>
          <w:sz w:val="32"/>
          <w:szCs w:val="32"/>
        </w:rPr>
        <w:t>法定代表人身份证明书</w:t>
      </w:r>
    </w:p>
    <w:p>
      <w:pPr>
        <w:spacing w:before="312" w:beforeLines="100" w:after="156" w:afterLines="50"/>
        <w:ind w:left="540"/>
        <w:jc w:val="center"/>
        <w:rPr>
          <w:rFonts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法定代表人身份证明书格式</w:t>
      </w:r>
    </w:p>
    <w:p>
      <w:pPr>
        <w:pStyle w:val="18"/>
        <w:rPr>
          <w:rFonts w:ascii="方正仿宋_GBK" w:hAnsi="方正仿宋_GBK" w:eastAsia="方正仿宋_GBK" w:cs="方正仿宋_GBK"/>
        </w:rPr>
      </w:pPr>
    </w:p>
    <w:p>
      <w:pPr>
        <w:spacing w:line="480" w:lineRule="exact"/>
        <w:ind w:left="539"/>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竞 标 人：</w:t>
      </w:r>
      <w:r>
        <w:rPr>
          <w:rFonts w:hint="eastAsia" w:ascii="方正仿宋_GBK" w:hAnsi="方正仿宋_GBK" w:eastAsia="方正仿宋_GBK" w:cs="方正仿宋_GBK"/>
          <w:sz w:val="28"/>
          <w:szCs w:val="28"/>
          <w:u w:val="single"/>
        </w:rPr>
        <w:t xml:space="preserve">                       </w:t>
      </w:r>
    </w:p>
    <w:p>
      <w:pPr>
        <w:spacing w:line="480" w:lineRule="exact"/>
        <w:ind w:left="539"/>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4"/>
        </w:rPr>
        <w:t>单位性质：</w:t>
      </w:r>
      <w:r>
        <w:rPr>
          <w:rFonts w:hint="eastAsia" w:ascii="方正仿宋_GBK" w:hAnsi="方正仿宋_GBK" w:eastAsia="方正仿宋_GBK" w:cs="方正仿宋_GBK"/>
          <w:sz w:val="28"/>
          <w:szCs w:val="28"/>
          <w:u w:val="single"/>
        </w:rPr>
        <w:t xml:space="preserve">                       </w:t>
      </w:r>
    </w:p>
    <w:p>
      <w:pPr>
        <w:spacing w:line="480" w:lineRule="exact"/>
        <w:ind w:left="539"/>
        <w:rPr>
          <w:rFonts w:ascii="方正仿宋_GBK" w:hAnsi="方正仿宋_GBK" w:eastAsia="方正仿宋_GBK" w:cs="方正仿宋_GBK"/>
          <w:sz w:val="24"/>
        </w:rPr>
      </w:pPr>
      <w:r>
        <w:rPr>
          <w:rFonts w:hint="eastAsia" w:ascii="方正仿宋_GBK" w:hAnsi="方正仿宋_GBK" w:eastAsia="方正仿宋_GBK" w:cs="方正仿宋_GBK"/>
          <w:sz w:val="24"/>
        </w:rPr>
        <w:t>地    址：</w:t>
      </w:r>
      <w:r>
        <w:rPr>
          <w:rFonts w:hint="eastAsia" w:ascii="方正仿宋_GBK" w:hAnsi="方正仿宋_GBK" w:eastAsia="方正仿宋_GBK" w:cs="方正仿宋_GBK"/>
          <w:sz w:val="28"/>
          <w:szCs w:val="28"/>
          <w:u w:val="single"/>
        </w:rPr>
        <w:t xml:space="preserve">                       </w:t>
      </w:r>
    </w:p>
    <w:p>
      <w:pPr>
        <w:spacing w:line="480" w:lineRule="exact"/>
        <w:ind w:left="539"/>
        <w:rPr>
          <w:rFonts w:ascii="方正仿宋_GBK" w:hAnsi="方正仿宋_GBK" w:eastAsia="方正仿宋_GBK" w:cs="方正仿宋_GBK"/>
          <w:sz w:val="24"/>
        </w:rPr>
      </w:pPr>
      <w:r>
        <w:rPr>
          <w:rFonts w:hint="eastAsia" w:ascii="方正仿宋_GBK" w:hAnsi="方正仿宋_GBK" w:eastAsia="方正仿宋_GBK" w:cs="方正仿宋_GBK"/>
          <w:sz w:val="24"/>
        </w:rPr>
        <w:t>成立时间：</w:t>
      </w:r>
      <w:r>
        <w:rPr>
          <w:rFonts w:hint="eastAsia" w:ascii="方正仿宋_GBK" w:hAnsi="方正仿宋_GBK" w:eastAsia="方正仿宋_GBK" w:cs="方正仿宋_GBK"/>
          <w:sz w:val="24"/>
          <w:u w:val="single"/>
        </w:rPr>
        <w:t xml:space="preserve">    年  月  日</w:t>
      </w:r>
    </w:p>
    <w:p>
      <w:pPr>
        <w:spacing w:line="480" w:lineRule="exact"/>
        <w:ind w:left="539"/>
        <w:rPr>
          <w:rFonts w:ascii="方正仿宋_GBK" w:hAnsi="方正仿宋_GBK" w:eastAsia="方正仿宋_GBK" w:cs="方正仿宋_GBK"/>
          <w:sz w:val="24"/>
        </w:rPr>
      </w:pPr>
      <w:r>
        <w:rPr>
          <w:rFonts w:hint="eastAsia" w:ascii="方正仿宋_GBK" w:hAnsi="方正仿宋_GBK" w:eastAsia="方正仿宋_GBK" w:cs="方正仿宋_GBK"/>
          <w:sz w:val="24"/>
        </w:rPr>
        <w:t>经营期限：</w:t>
      </w:r>
      <w:r>
        <w:rPr>
          <w:rFonts w:hint="eastAsia" w:ascii="方正仿宋_GBK" w:hAnsi="方正仿宋_GBK" w:eastAsia="方正仿宋_GBK" w:cs="方正仿宋_GBK"/>
          <w:sz w:val="28"/>
          <w:szCs w:val="28"/>
          <w:u w:val="single"/>
        </w:rPr>
        <w:t xml:space="preserve">                       </w:t>
      </w:r>
    </w:p>
    <w:p>
      <w:pPr>
        <w:spacing w:line="480" w:lineRule="exact"/>
        <w:ind w:left="539"/>
        <w:rPr>
          <w:rFonts w:ascii="方正仿宋_GBK" w:hAnsi="方正仿宋_GBK" w:eastAsia="方正仿宋_GBK" w:cs="方正仿宋_GBK"/>
          <w:sz w:val="24"/>
        </w:rPr>
      </w:pPr>
      <w:r>
        <w:rPr>
          <w:rFonts w:hint="eastAsia" w:ascii="方正仿宋_GBK" w:hAnsi="方正仿宋_GBK" w:eastAsia="方正仿宋_GBK" w:cs="方正仿宋_GBK"/>
          <w:sz w:val="24"/>
        </w:rPr>
        <w:t>姓    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4"/>
        </w:rPr>
        <w:t xml:space="preserve">      性    别：</w:t>
      </w:r>
      <w:r>
        <w:rPr>
          <w:rFonts w:hint="eastAsia" w:ascii="方正仿宋_GBK" w:hAnsi="方正仿宋_GBK" w:eastAsia="方正仿宋_GBK" w:cs="方正仿宋_GBK"/>
          <w:sz w:val="28"/>
          <w:szCs w:val="28"/>
          <w:u w:val="single"/>
        </w:rPr>
        <w:t xml:space="preserve">              </w:t>
      </w:r>
    </w:p>
    <w:p>
      <w:pPr>
        <w:spacing w:line="480" w:lineRule="exact"/>
        <w:ind w:left="539"/>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 xml:space="preserve">年    龄：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4"/>
        </w:rPr>
        <w:t xml:space="preserve">     职    务：</w:t>
      </w:r>
      <w:r>
        <w:rPr>
          <w:rFonts w:hint="eastAsia" w:ascii="方正仿宋_GBK" w:hAnsi="方正仿宋_GBK" w:eastAsia="方正仿宋_GBK" w:cs="方正仿宋_GBK"/>
          <w:sz w:val="28"/>
          <w:szCs w:val="28"/>
          <w:u w:val="single"/>
        </w:rPr>
        <w:t xml:space="preserve">              </w:t>
      </w:r>
    </w:p>
    <w:p>
      <w:pPr>
        <w:spacing w:line="480" w:lineRule="exact"/>
        <w:ind w:left="539"/>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r>
        <w:rPr>
          <w:rFonts w:hint="eastAsia" w:ascii="方正仿宋_GBK" w:hAnsi="方正仿宋_GBK" w:eastAsia="方正仿宋_GBK" w:cs="方正仿宋_GBK"/>
          <w:sz w:val="28"/>
          <w:szCs w:val="28"/>
          <w:u w:val="single"/>
        </w:rPr>
        <w:t xml:space="preserve">                       </w:t>
      </w:r>
    </w:p>
    <w:p>
      <w:pPr>
        <w:spacing w:line="480" w:lineRule="exact"/>
        <w:ind w:left="539"/>
        <w:rPr>
          <w:rFonts w:ascii="方正仿宋_GBK" w:hAnsi="方正仿宋_GBK" w:eastAsia="方正仿宋_GBK" w:cs="方正仿宋_GBK"/>
          <w:sz w:val="24"/>
        </w:rPr>
      </w:pPr>
      <w:r>
        <w:rPr>
          <w:rFonts w:hint="eastAsia" w:ascii="方正仿宋_GBK" w:hAnsi="方正仿宋_GBK" w:eastAsia="方正仿宋_GBK" w:cs="方正仿宋_GBK"/>
          <w:sz w:val="24"/>
        </w:rPr>
        <w:t>系</w:t>
      </w:r>
      <w:r>
        <w:rPr>
          <w:rFonts w:hint="eastAsia" w:ascii="方正仿宋_GBK" w:hAnsi="方正仿宋_GBK" w:eastAsia="方正仿宋_GBK" w:cs="方正仿宋_GBK"/>
          <w:sz w:val="24"/>
          <w:u w:val="single"/>
        </w:rPr>
        <w:t>（供应商名称）</w:t>
      </w:r>
      <w:r>
        <w:rPr>
          <w:rFonts w:hint="eastAsia" w:ascii="方正仿宋_GBK" w:hAnsi="方正仿宋_GBK" w:eastAsia="方正仿宋_GBK" w:cs="方正仿宋_GBK"/>
          <w:sz w:val="24"/>
        </w:rPr>
        <w:t>的法定代表人。</w:t>
      </w:r>
    </w:p>
    <w:p>
      <w:pPr>
        <w:spacing w:line="480" w:lineRule="exact"/>
        <w:ind w:left="539"/>
        <w:rPr>
          <w:rFonts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spacing w:line="480" w:lineRule="exact"/>
        <w:ind w:left="539"/>
        <w:rPr>
          <w:rFonts w:ascii="方正仿宋_GBK" w:hAnsi="方正仿宋_GBK" w:eastAsia="方正仿宋_GBK" w:cs="方正仿宋_GBK"/>
          <w:sz w:val="24"/>
        </w:rPr>
      </w:pPr>
    </w:p>
    <w:p>
      <w:pPr>
        <w:spacing w:line="480" w:lineRule="exact"/>
        <w:ind w:left="539"/>
        <w:rPr>
          <w:rFonts w:ascii="方正仿宋_GBK" w:hAnsi="方正仿宋_GBK" w:eastAsia="方正仿宋_GBK" w:cs="方正仿宋_GBK"/>
          <w:b/>
          <w:sz w:val="24"/>
        </w:rPr>
      </w:pPr>
      <w:r>
        <w:rPr>
          <w:rFonts w:hint="eastAsia" w:ascii="方正仿宋_GBK" w:hAnsi="方正仿宋_GBK" w:eastAsia="方正仿宋_GBK" w:cs="方正仿宋_GBK"/>
          <w:b/>
          <w:sz w:val="24"/>
        </w:rPr>
        <w:t>附件：法定代表人有效身份证正反面复印件</w:t>
      </w:r>
    </w:p>
    <w:p>
      <w:pPr>
        <w:spacing w:line="480" w:lineRule="exact"/>
        <w:ind w:left="539"/>
        <w:rPr>
          <w:rFonts w:ascii="方正仿宋_GBK" w:hAnsi="方正仿宋_GBK" w:eastAsia="方正仿宋_GBK" w:cs="方正仿宋_GBK"/>
          <w:sz w:val="24"/>
        </w:rPr>
      </w:pPr>
    </w:p>
    <w:p>
      <w:pPr>
        <w:spacing w:line="480" w:lineRule="exact"/>
        <w:ind w:left="539"/>
        <w:rPr>
          <w:rFonts w:ascii="方正仿宋_GBK" w:hAnsi="方正仿宋_GBK" w:eastAsia="方正仿宋_GBK" w:cs="方正仿宋_GBK"/>
          <w:sz w:val="24"/>
        </w:rPr>
      </w:pPr>
    </w:p>
    <w:p>
      <w:pPr>
        <w:pStyle w:val="22"/>
        <w:spacing w:line="480" w:lineRule="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法定代表人签字或盖章：</w:t>
      </w:r>
      <w:r>
        <w:rPr>
          <w:rFonts w:hint="eastAsia" w:ascii="方正仿宋_GBK" w:hAnsi="方正仿宋_GBK" w:eastAsia="方正仿宋_GBK" w:cs="方正仿宋_GBK"/>
          <w:sz w:val="28"/>
          <w:szCs w:val="28"/>
          <w:u w:val="single"/>
        </w:rPr>
        <w:t xml:space="preserve">                       </w:t>
      </w:r>
    </w:p>
    <w:p>
      <w:pPr>
        <w:pStyle w:val="22"/>
        <w:spacing w:line="480" w:lineRule="auto"/>
        <w:rPr>
          <w:rFonts w:ascii="方正仿宋_GBK" w:hAnsi="方正仿宋_GBK" w:eastAsia="方正仿宋_GBK" w:cs="方正仿宋_GBK"/>
          <w:u w:val="single"/>
        </w:rPr>
      </w:pPr>
      <w:r>
        <w:rPr>
          <w:rFonts w:hint="eastAsia" w:ascii="方正仿宋_GBK" w:hAnsi="方正仿宋_GBK" w:eastAsia="方正仿宋_GBK" w:cs="方正仿宋_GBK"/>
          <w:sz w:val="28"/>
          <w:szCs w:val="28"/>
        </w:rPr>
        <w:t>磋商供应商名称（盖章）：</w:t>
      </w:r>
      <w:r>
        <w:rPr>
          <w:rFonts w:hint="eastAsia" w:ascii="方正仿宋_GBK" w:hAnsi="方正仿宋_GBK" w:eastAsia="方正仿宋_GBK" w:cs="方正仿宋_GBK"/>
          <w:sz w:val="28"/>
          <w:szCs w:val="28"/>
          <w:u w:val="single"/>
        </w:rPr>
        <w:t xml:space="preserve">                       </w:t>
      </w:r>
    </w:p>
    <w:p>
      <w:pPr>
        <w:pStyle w:val="22"/>
        <w:spacing w:line="480" w:lineRule="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日   期：</w:t>
      </w:r>
      <w:r>
        <w:rPr>
          <w:rFonts w:hint="eastAsia" w:ascii="方正仿宋_GBK" w:hAnsi="方正仿宋_GBK" w:eastAsia="方正仿宋_GBK" w:cs="方正仿宋_GBK"/>
          <w:sz w:val="28"/>
          <w:szCs w:val="28"/>
          <w:u w:val="single"/>
        </w:rPr>
        <w:t xml:space="preserve">                       </w:t>
      </w:r>
    </w:p>
    <w:p>
      <w:pPr>
        <w:rPr>
          <w:rFonts w:ascii="方正仿宋_GBK" w:hAnsi="方正仿宋_GBK" w:eastAsia="方正仿宋_GBK" w:cs="方正仿宋_GBK"/>
          <w:sz w:val="24"/>
          <w:u w:val="single"/>
        </w:rPr>
      </w:pPr>
    </w:p>
    <w:p>
      <w:pPr>
        <w:rPr>
          <w:rFonts w:ascii="方正仿宋_GBK" w:hAnsi="方正仿宋_GBK" w:eastAsia="方正仿宋_GBK" w:cs="方正仿宋_GBK"/>
          <w:szCs w:val="20"/>
          <w:u w:val="single"/>
        </w:rPr>
      </w:pPr>
    </w:p>
    <w:p>
      <w:pPr>
        <w:spacing w:line="300" w:lineRule="auto"/>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24"/>
        </w:rPr>
        <w:br w:type="page"/>
      </w:r>
    </w:p>
    <w:p>
      <w:pPr>
        <w:spacing w:line="300" w:lineRule="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四、法定代表人授权书（格式）</w:t>
      </w:r>
    </w:p>
    <w:p>
      <w:pPr>
        <w:spacing w:line="300" w:lineRule="auto"/>
        <w:rPr>
          <w:rFonts w:ascii="方正仿宋_GBK" w:hAnsi="方正仿宋_GBK" w:eastAsia="方正仿宋_GBK" w:cs="方正仿宋_GBK"/>
          <w:kern w:val="0"/>
          <w:sz w:val="32"/>
          <w:szCs w:val="32"/>
        </w:rPr>
      </w:pPr>
    </w:p>
    <w:p>
      <w:pPr>
        <w:adjustRightInd w:val="0"/>
        <w:snapToGrid w:val="0"/>
        <w:spacing w:line="300" w:lineRule="auto"/>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法定代表人授权书(一)</w:t>
      </w:r>
    </w:p>
    <w:p>
      <w:pPr>
        <w:adjustRightInd w:val="0"/>
        <w:snapToGrid w:val="0"/>
        <w:spacing w:line="520" w:lineRule="exact"/>
        <w:rPr>
          <w:rFonts w:ascii="方正仿宋_GBK" w:hAnsi="方正仿宋_GBK" w:eastAsia="方正仿宋_GBK" w:cs="方正仿宋_GBK"/>
          <w:sz w:val="28"/>
          <w:szCs w:val="28"/>
        </w:rPr>
      </w:pPr>
    </w:p>
    <w:p>
      <w:pPr>
        <w:spacing w:line="520" w:lineRule="exact"/>
        <w:rPr>
          <w:rFonts w:ascii="方正仿宋_GBK" w:hAnsi="方正仿宋_GBK" w:eastAsia="方正仿宋_GBK" w:cs="方正仿宋_GBK"/>
          <w:sz w:val="24"/>
          <w:szCs w:val="28"/>
        </w:rPr>
      </w:pPr>
      <w:r>
        <w:rPr>
          <w:rFonts w:hint="eastAsia" w:ascii="方正仿宋_GBK" w:hAnsi="方正仿宋_GBK" w:eastAsia="方正仿宋_GBK" w:cs="方正仿宋_GBK"/>
          <w:bCs/>
          <w:sz w:val="24"/>
          <w:u w:val="single"/>
        </w:rPr>
        <w:t>广西北部湾银行股份有限公司</w:t>
      </w:r>
      <w:r>
        <w:rPr>
          <w:rFonts w:hint="eastAsia" w:ascii="方正仿宋_GBK" w:hAnsi="方正仿宋_GBK" w:eastAsia="方正仿宋_GBK" w:cs="方正仿宋_GBK"/>
          <w:sz w:val="24"/>
          <w:szCs w:val="28"/>
        </w:rPr>
        <w:t>：</w:t>
      </w:r>
    </w:p>
    <w:p>
      <w:pPr>
        <w:spacing w:line="52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兹授权</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同志，身份证号：</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为我公司参加贵单位组织的</w:t>
      </w:r>
      <w:r>
        <w:rPr>
          <w:rFonts w:hint="eastAsia" w:ascii="方正仿宋_GBK" w:hAnsi="方正仿宋_GBK" w:eastAsia="方正仿宋_GBK" w:cs="方正仿宋_GBK"/>
          <w:sz w:val="24"/>
          <w:szCs w:val="28"/>
          <w:u w:val="single"/>
        </w:rPr>
        <w:t>（项目名称：       ；项目编号：        ；分标号：   ）</w:t>
      </w:r>
      <w:r>
        <w:rPr>
          <w:rFonts w:hint="eastAsia" w:ascii="方正仿宋_GBK" w:hAnsi="方正仿宋_GBK" w:eastAsia="方正仿宋_GBK" w:cs="方正仿宋_GBK"/>
          <w:sz w:val="24"/>
          <w:szCs w:val="28"/>
        </w:rPr>
        <w:t>采购活动的竞标代表人，全权代表我公司处理在该项目活动中的一切事宜。代理期限从</w:t>
      </w:r>
      <w:r>
        <w:rPr>
          <w:rFonts w:hint="eastAsia" w:ascii="方正仿宋_GBK" w:hAnsi="方正仿宋_GBK" w:eastAsia="方正仿宋_GBK" w:cs="方正仿宋_GBK"/>
          <w:sz w:val="24"/>
          <w:szCs w:val="28"/>
          <w:u w:val="single"/>
        </w:rPr>
        <w:t xml:space="preserve">    年   月   日起至   年   月   日止</w:t>
      </w:r>
      <w:r>
        <w:rPr>
          <w:rFonts w:hint="eastAsia" w:ascii="方正仿宋_GBK" w:hAnsi="方正仿宋_GBK" w:eastAsia="方正仿宋_GBK" w:cs="方正仿宋_GBK"/>
          <w:sz w:val="24"/>
          <w:szCs w:val="28"/>
        </w:rPr>
        <w:t xml:space="preserve">。 </w:t>
      </w:r>
    </w:p>
    <w:p>
      <w:pPr>
        <w:spacing w:line="520" w:lineRule="exact"/>
        <w:rPr>
          <w:rFonts w:ascii="方正仿宋_GBK" w:hAnsi="方正仿宋_GBK" w:eastAsia="方正仿宋_GBK" w:cs="方正仿宋_GBK"/>
          <w:sz w:val="24"/>
          <w:szCs w:val="28"/>
        </w:rPr>
      </w:pPr>
    </w:p>
    <w:p>
      <w:pPr>
        <w:spacing w:line="520" w:lineRule="exact"/>
        <w:ind w:firstLine="360" w:firstLineChars="150"/>
        <w:rPr>
          <w:rFonts w:ascii="方正仿宋_GBK" w:hAnsi="方正仿宋_GBK" w:eastAsia="方正仿宋_GBK" w:cs="方正仿宋_GBK"/>
          <w:sz w:val="24"/>
          <w:szCs w:val="28"/>
          <w:u w:val="single"/>
        </w:rPr>
      </w:pPr>
      <w:r>
        <w:rPr>
          <w:rFonts w:hint="eastAsia" w:ascii="方正仿宋_GBK" w:hAnsi="方正仿宋_GBK" w:eastAsia="方正仿宋_GBK" w:cs="方正仿宋_GBK"/>
          <w:sz w:val="24"/>
          <w:szCs w:val="28"/>
        </w:rPr>
        <w:t>授权单位（盖章）：</w:t>
      </w:r>
      <w:r>
        <w:rPr>
          <w:rFonts w:hint="eastAsia" w:ascii="方正仿宋_GBK" w:hAnsi="方正仿宋_GBK" w:eastAsia="方正仿宋_GBK" w:cs="方正仿宋_GBK"/>
          <w:sz w:val="28"/>
          <w:szCs w:val="28"/>
          <w:u w:val="single"/>
        </w:rPr>
        <w:t xml:space="preserve">                       </w:t>
      </w:r>
    </w:p>
    <w:p>
      <w:pPr>
        <w:spacing w:line="520" w:lineRule="exact"/>
        <w:ind w:firstLine="360" w:firstLineChars="150"/>
        <w:rPr>
          <w:rFonts w:ascii="方正仿宋_GBK" w:hAnsi="方正仿宋_GBK" w:eastAsia="方正仿宋_GBK" w:cs="方正仿宋_GBK"/>
          <w:b/>
          <w:sz w:val="24"/>
          <w:szCs w:val="28"/>
        </w:rPr>
      </w:pPr>
      <w:r>
        <w:rPr>
          <w:rFonts w:hint="eastAsia" w:ascii="方正仿宋_GBK" w:hAnsi="方正仿宋_GBK" w:eastAsia="方正仿宋_GBK" w:cs="方正仿宋_GBK"/>
          <w:sz w:val="24"/>
          <w:szCs w:val="28"/>
        </w:rPr>
        <w:t>法定代表人（签字或盖章）：</w:t>
      </w:r>
      <w:r>
        <w:rPr>
          <w:rFonts w:hint="eastAsia" w:ascii="方正仿宋_GBK" w:hAnsi="方正仿宋_GBK" w:eastAsia="方正仿宋_GBK" w:cs="方正仿宋_GBK"/>
          <w:sz w:val="28"/>
          <w:szCs w:val="28"/>
          <w:u w:val="single"/>
        </w:rPr>
        <w:t xml:space="preserve">                       </w:t>
      </w:r>
    </w:p>
    <w:p>
      <w:pPr>
        <w:spacing w:line="520" w:lineRule="exact"/>
        <w:ind w:firstLine="360" w:firstLineChars="1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签发日期：</w:t>
      </w:r>
      <w:r>
        <w:rPr>
          <w:rFonts w:hint="eastAsia" w:ascii="方正仿宋_GBK" w:hAnsi="方正仿宋_GBK" w:eastAsia="方正仿宋_GBK" w:cs="方正仿宋_GBK"/>
          <w:sz w:val="24"/>
          <w:szCs w:val="28"/>
          <w:u w:val="single"/>
        </w:rPr>
        <w:t xml:space="preserve">    年   月   日</w:t>
      </w:r>
    </w:p>
    <w:p>
      <w:pPr>
        <w:spacing w:line="520" w:lineRule="exact"/>
        <w:rPr>
          <w:rFonts w:ascii="方正仿宋_GBK" w:hAnsi="方正仿宋_GBK" w:eastAsia="方正仿宋_GBK" w:cs="方正仿宋_GBK"/>
          <w:sz w:val="24"/>
          <w:szCs w:val="28"/>
        </w:rPr>
      </w:pPr>
    </w:p>
    <w:p>
      <w:pPr>
        <w:spacing w:line="52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附：代理人工作单位：</w:t>
      </w:r>
      <w:r>
        <w:rPr>
          <w:rFonts w:hint="eastAsia" w:ascii="方正仿宋_GBK" w:hAnsi="方正仿宋_GBK" w:eastAsia="方正仿宋_GBK" w:cs="方正仿宋_GBK"/>
          <w:sz w:val="28"/>
          <w:szCs w:val="28"/>
          <w:u w:val="single"/>
        </w:rPr>
        <w:t xml:space="preserve">                       </w:t>
      </w:r>
    </w:p>
    <w:p>
      <w:pPr>
        <w:spacing w:line="520" w:lineRule="exact"/>
        <w:ind w:firstLine="48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4"/>
          <w:szCs w:val="28"/>
        </w:rPr>
        <w:t>职务：</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4"/>
          <w:szCs w:val="28"/>
        </w:rPr>
        <w:t xml:space="preserve">        性别：</w:t>
      </w:r>
      <w:r>
        <w:rPr>
          <w:rFonts w:hint="eastAsia" w:ascii="方正仿宋_GBK" w:hAnsi="方正仿宋_GBK" w:eastAsia="方正仿宋_GBK" w:cs="方正仿宋_GBK"/>
          <w:sz w:val="28"/>
          <w:szCs w:val="28"/>
          <w:u w:val="single"/>
        </w:rPr>
        <w:t xml:space="preserve">                       </w:t>
      </w:r>
    </w:p>
    <w:p>
      <w:pPr>
        <w:spacing w:line="520" w:lineRule="exact"/>
        <w:ind w:firstLine="480" w:firstLineChars="200"/>
        <w:rPr>
          <w:rFonts w:ascii="方正仿宋_GBK" w:hAnsi="方正仿宋_GBK" w:eastAsia="方正仿宋_GBK" w:cs="方正仿宋_GBK"/>
          <w:sz w:val="24"/>
          <w:szCs w:val="28"/>
          <w:u w:val="single"/>
        </w:rPr>
      </w:pPr>
      <w:r>
        <w:rPr>
          <w:rFonts w:hint="eastAsia" w:ascii="方正仿宋_GBK" w:hAnsi="方正仿宋_GBK" w:eastAsia="方正仿宋_GBK" w:cs="方正仿宋_GBK"/>
          <w:sz w:val="24"/>
          <w:szCs w:val="28"/>
        </w:rPr>
        <w:t>身份证号码：</w:t>
      </w:r>
      <w:r>
        <w:rPr>
          <w:rFonts w:hint="eastAsia" w:ascii="方正仿宋_GBK" w:hAnsi="方正仿宋_GBK" w:eastAsia="方正仿宋_GBK" w:cs="方正仿宋_GBK"/>
          <w:sz w:val="28"/>
          <w:szCs w:val="28"/>
          <w:u w:val="single"/>
        </w:rPr>
        <w:t xml:space="preserve">                       </w:t>
      </w:r>
    </w:p>
    <w:p>
      <w:pPr>
        <w:adjustRightInd w:val="0"/>
        <w:snapToGrid w:val="0"/>
        <w:spacing w:line="520" w:lineRule="exact"/>
        <w:ind w:firstLine="480" w:firstLineChars="200"/>
        <w:rPr>
          <w:rFonts w:ascii="方正仿宋_GBK" w:hAnsi="方正仿宋_GBK" w:eastAsia="方正仿宋_GBK" w:cs="方正仿宋_GBK"/>
          <w:sz w:val="24"/>
          <w:szCs w:val="28"/>
          <w:u w:val="single"/>
        </w:rPr>
      </w:pPr>
    </w:p>
    <w:tbl>
      <w:tblPr>
        <w:tblStyle w:val="43"/>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8657" w:type="dxa"/>
          </w:tcPr>
          <w:p>
            <w:pPr>
              <w:spacing w:line="300" w:lineRule="auto"/>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被授权人身份证（复印件）</w:t>
            </w:r>
          </w:p>
        </w:tc>
      </w:tr>
    </w:tbl>
    <w:p>
      <w:pPr>
        <w:autoSpaceDE w:val="0"/>
        <w:autoSpaceDN w:val="0"/>
        <w:spacing w:line="300" w:lineRule="auto"/>
        <w:ind w:left="480" w:hanging="480"/>
        <w:rPr>
          <w:rFonts w:ascii="方正仿宋_GBK" w:hAnsi="方正仿宋_GBK" w:eastAsia="方正仿宋_GBK" w:cs="方正仿宋_GBK"/>
          <w:sz w:val="28"/>
          <w:szCs w:val="28"/>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b/>
          <w:sz w:val="28"/>
          <w:szCs w:val="28"/>
        </w:rPr>
      </w:pPr>
      <w:r>
        <w:rPr>
          <w:rFonts w:hint="eastAsia" w:ascii="方正仿宋_GBK" w:hAnsi="方正仿宋_GBK" w:eastAsia="方正仿宋_GBK" w:cs="方正仿宋_GBK"/>
          <w:kern w:val="0"/>
          <w:sz w:val="32"/>
          <w:szCs w:val="32"/>
        </w:rPr>
        <w:t>五、信用声明函（格式）</w:t>
      </w:r>
    </w:p>
    <w:p>
      <w:pPr>
        <w:jc w:val="center"/>
        <w:rPr>
          <w:rFonts w:ascii="方正仿宋_GBK" w:hAnsi="方正仿宋_GBK" w:eastAsia="方正仿宋_GBK" w:cs="方正仿宋_GBK"/>
          <w:b/>
          <w:sz w:val="32"/>
          <w:szCs w:val="30"/>
        </w:rPr>
      </w:pPr>
      <w:r>
        <w:rPr>
          <w:rFonts w:hint="eastAsia" w:ascii="方正仿宋_GBK" w:hAnsi="方正仿宋_GBK" w:eastAsia="方正仿宋_GBK" w:cs="方正仿宋_GBK"/>
          <w:b/>
          <w:sz w:val="32"/>
          <w:szCs w:val="30"/>
        </w:rPr>
        <w:t>信用声明函</w:t>
      </w:r>
    </w:p>
    <w:p>
      <w:pPr>
        <w:tabs>
          <w:tab w:val="left" w:pos="7200"/>
        </w:tabs>
        <w:spacing w:line="360" w:lineRule="exact"/>
        <w:rPr>
          <w:rFonts w:ascii="方正仿宋_GBK" w:hAnsi="方正仿宋_GBK" w:eastAsia="方正仿宋_GBK" w:cs="方正仿宋_GBK"/>
        </w:rPr>
      </w:pPr>
      <w:r>
        <w:rPr>
          <w:rFonts w:hint="eastAsia" w:ascii="方正仿宋_GBK" w:hAnsi="方正仿宋_GBK" w:eastAsia="方正仿宋_GBK" w:cs="方正仿宋_GBK"/>
        </w:rPr>
        <w:t>致：</w:t>
      </w:r>
      <w:r>
        <w:rPr>
          <w:rFonts w:hint="eastAsia" w:ascii="方正仿宋_GBK" w:hAnsi="方正仿宋_GBK" w:eastAsia="方正仿宋_GBK" w:cs="方正仿宋_GBK"/>
          <w:u w:val="single"/>
        </w:rPr>
        <w:t>广西北部湾银行股份有限公司</w:t>
      </w:r>
    </w:p>
    <w:p>
      <w:pPr>
        <w:tabs>
          <w:tab w:val="left" w:pos="7200"/>
        </w:tabs>
        <w:spacing w:line="360" w:lineRule="exact"/>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我司愿意参加贵</w:t>
      </w:r>
      <w:r>
        <w:rPr>
          <w:rFonts w:hint="eastAsia" w:ascii="方正仿宋_GBK" w:hAnsi="方正仿宋_GBK" w:eastAsia="方正仿宋_GBK" w:cs="方正仿宋_GBK"/>
          <w:lang w:eastAsia="zh-CN"/>
        </w:rPr>
        <w:t>行</w:t>
      </w:r>
      <w:r>
        <w:rPr>
          <w:rFonts w:hint="eastAsia" w:ascii="方正仿宋_GBK" w:hAnsi="方正仿宋_GBK" w:eastAsia="方正仿宋_GBK" w:cs="方正仿宋_GBK"/>
        </w:rPr>
        <w:t xml:space="preserve">组织的 </w:t>
      </w:r>
      <w:r>
        <w:rPr>
          <w:rFonts w:hint="eastAsia" w:ascii="方正仿宋_GBK" w:hAnsi="方正仿宋_GBK" w:eastAsia="方正仿宋_GBK" w:cs="方正仿宋_GBK"/>
          <w:u w:val="single"/>
        </w:rPr>
        <w:t xml:space="preserve">     (项目名称)      </w:t>
      </w:r>
      <w:r>
        <w:rPr>
          <w:rFonts w:hint="eastAsia" w:ascii="方正仿宋_GBK" w:hAnsi="方正仿宋_GBK" w:eastAsia="方正仿宋_GBK" w:cs="方正仿宋_GBK"/>
        </w:rPr>
        <w:t>（</w:t>
      </w:r>
      <w:r>
        <w:rPr>
          <w:rFonts w:hint="eastAsia" w:ascii="方正仿宋_GBK" w:hAnsi="方正仿宋_GBK" w:eastAsia="方正仿宋_GBK" w:cs="方正仿宋_GBK"/>
          <w:u w:val="single"/>
        </w:rPr>
        <w:t xml:space="preserve">项目编号：      </w:t>
      </w:r>
      <w:r>
        <w:rPr>
          <w:rFonts w:hint="eastAsia" w:ascii="方正仿宋_GBK" w:hAnsi="方正仿宋_GBK" w:eastAsia="方正仿宋_GBK" w:cs="方正仿宋_GBK"/>
        </w:rPr>
        <w:t>）项目的竞标，为便于贵</w:t>
      </w:r>
      <w:r>
        <w:rPr>
          <w:rFonts w:hint="eastAsia" w:ascii="方正仿宋_GBK" w:hAnsi="方正仿宋_GBK" w:eastAsia="方正仿宋_GBK" w:cs="方正仿宋_GBK"/>
          <w:lang w:eastAsia="zh-CN"/>
        </w:rPr>
        <w:t>行</w:t>
      </w:r>
      <w:r>
        <w:rPr>
          <w:rFonts w:hint="eastAsia" w:ascii="方正仿宋_GBK" w:hAnsi="方正仿宋_GBK" w:eastAsia="方正仿宋_GBK" w:cs="方正仿宋_GBK"/>
        </w:rPr>
        <w:t>公正、择优地确定成交人及其竞标货物和服务，我司就本次竞标有关事项郑重声明如下：</w:t>
      </w:r>
    </w:p>
    <w:p>
      <w:pPr>
        <w:spacing w:line="360" w:lineRule="exact"/>
        <w:ind w:firstLine="420" w:firstLineChars="200"/>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rPr>
        <w:t>1.我司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经营异常名录信息</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完全符合《中华人民共和国招标投标法》、</w:t>
      </w:r>
      <w:r>
        <w:rPr>
          <w:rFonts w:hint="eastAsia" w:ascii="方正仿宋_GBK" w:hAnsi="方正仿宋_GBK" w:eastAsia="方正仿宋_GBK" w:cs="方正仿宋_GBK"/>
          <w:highlight w:val="none"/>
        </w:rPr>
        <w:t>《中华人民共和国政府采购法》第二十二条规定的供应商资格条件，我方对此声明负全部法律责任。</w:t>
      </w:r>
    </w:p>
    <w:p>
      <w:pPr>
        <w:spacing w:line="360" w:lineRule="exact"/>
        <w:ind w:firstLine="420" w:firstLineChars="200"/>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2.</w:t>
      </w:r>
      <w:r>
        <w:rPr>
          <w:rFonts w:hint="eastAsia" w:ascii="方正仿宋_GBK" w:hAnsi="方正仿宋_GBK" w:eastAsia="方正仿宋_GBK" w:cs="方正仿宋_GBK"/>
          <w:highlight w:val="none"/>
        </w:rPr>
        <w:t>我方具有良好的执业质量记录，按时保质完成审计工作任务，在审计工作中没有出现重大审计质量问题和不良记录，具备承担相应审计风险的能力</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rPr>
        <w:t>未在广西北部湾银行以往采购项目中有过欺骗、欺诈等不良行为或不良记录；</w:t>
      </w:r>
    </w:p>
    <w:p>
      <w:pPr>
        <w:spacing w:line="360" w:lineRule="exact"/>
        <w:ind w:firstLine="420" w:firstLineChars="200"/>
        <w:jc w:val="left"/>
        <w:rPr>
          <w:rFonts w:hint="eastAsia" w:ascii="方正仿宋_GBK" w:hAnsi="方正仿宋_GBK" w:eastAsia="方正仿宋_GBK" w:cs="方正仿宋_GBK"/>
          <w:b w:val="0"/>
          <w:sz w:val="21"/>
          <w:szCs w:val="24"/>
          <w:highlight w:val="none"/>
          <w:lang w:eastAsia="zh-CN"/>
        </w:rPr>
      </w:pPr>
      <w:r>
        <w:rPr>
          <w:rFonts w:hint="eastAsia" w:ascii="方正仿宋_GBK" w:hAnsi="方正仿宋_GBK" w:eastAsia="方正仿宋_GBK" w:cs="方正仿宋_GBK"/>
          <w:highlight w:val="none"/>
          <w:lang w:val="en-US" w:eastAsia="zh-CN"/>
        </w:rPr>
        <w:t>3.</w:t>
      </w:r>
      <w:r>
        <w:rPr>
          <w:rFonts w:hint="eastAsia" w:ascii="方正仿宋_GBK" w:hAnsi="方正仿宋_GBK" w:eastAsia="方正仿宋_GBK" w:cs="方正仿宋_GBK"/>
          <w:highlight w:val="none"/>
        </w:rPr>
        <w:t>我方能够保守被审计金融企业的商业秘密，维护国家金融信息安全</w:t>
      </w:r>
      <w:r>
        <w:rPr>
          <w:rFonts w:hint="eastAsia" w:ascii="方正仿宋_GBK" w:hAnsi="方正仿宋_GBK" w:eastAsia="方正仿宋_GBK" w:cs="方正仿宋_GBK"/>
          <w:b w:val="0"/>
          <w:sz w:val="21"/>
          <w:szCs w:val="24"/>
          <w:highlight w:val="none"/>
          <w:lang w:eastAsia="zh-CN"/>
        </w:rPr>
        <w:t>。</w:t>
      </w:r>
    </w:p>
    <w:p>
      <w:pPr>
        <w:spacing w:line="360" w:lineRule="exact"/>
        <w:ind w:firstLine="420" w:firstLineChars="200"/>
        <w:jc w:val="left"/>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我方近三年内</w:t>
      </w:r>
      <w:r>
        <w:rPr>
          <w:rFonts w:hint="eastAsia" w:ascii="方正仿宋_GBK" w:hAnsi="方正仿宋_GBK" w:eastAsia="方正仿宋_GBK" w:cs="方正仿宋_GBK"/>
          <w:b w:val="0"/>
          <w:sz w:val="21"/>
          <w:szCs w:val="24"/>
          <w:lang w:eastAsia="zh-CN"/>
        </w:rPr>
        <w:t>不</w:t>
      </w:r>
      <w:r>
        <w:rPr>
          <w:rFonts w:hint="eastAsia" w:ascii="方正仿宋_GBK" w:hAnsi="方正仿宋_GBK" w:eastAsia="方正仿宋_GBK" w:cs="方正仿宋_GBK"/>
        </w:rPr>
        <w:t>具有以下情形：因违法违规行为被财政部、省级财政部门给予没收违法所得、罚款、暂停执行部分业务等行政处罚；被财政部、省级财政部门给予警告两次以上；因负责审计的金融企业存在重大资产损失、重大财务造假行为、金融企业或其负责人存在重大违法违规行为，会计师事务所已发现但未按照《中国注册会计师审计准则》和《中国注册会计师职业道德守则》相关规定履行关注、识别、评价等审计程序，或未按上述规定履行向金融企业审计委员会、董事会、监事会，或股东、同级财政部门、金融监管部门报告的。</w:t>
      </w:r>
    </w:p>
    <w:p>
      <w:pPr>
        <w:spacing w:line="360" w:lineRule="exact"/>
        <w:ind w:firstLine="420" w:firstLineChars="200"/>
        <w:jc w:val="left"/>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val="en-US" w:eastAsia="zh-CN"/>
        </w:rPr>
        <w:t>5.</w:t>
      </w:r>
      <w:r>
        <w:rPr>
          <w:rFonts w:hint="eastAsia" w:ascii="方正仿宋_GBK" w:hAnsi="方正仿宋_GBK" w:eastAsia="方正仿宋_GBK" w:cs="方正仿宋_GBK"/>
          <w:color w:val="auto"/>
        </w:rPr>
        <w:t>我方</w:t>
      </w:r>
      <w:r>
        <w:rPr>
          <w:rFonts w:hint="eastAsia" w:ascii="方正仿宋_GBK" w:hAnsi="方正仿宋_GBK" w:eastAsia="方正仿宋_GBK" w:cs="方正仿宋_GBK"/>
          <w:color w:val="auto"/>
          <w:lang w:eastAsia="zh-CN"/>
        </w:rPr>
        <w:t>未</w:t>
      </w:r>
      <w:r>
        <w:rPr>
          <w:rFonts w:hint="eastAsia" w:ascii="方正仿宋_GBK" w:hAnsi="方正仿宋_GBK" w:eastAsia="方正仿宋_GBK" w:cs="方正仿宋_GBK"/>
          <w:color w:val="auto"/>
        </w:rPr>
        <w:t>被财政部、省级财政部门根据会计师事务所执业质量明确不适合承担金融企业审计工作</w:t>
      </w:r>
      <w:r>
        <w:rPr>
          <w:rFonts w:hint="eastAsia" w:ascii="方正仿宋_GBK" w:hAnsi="方正仿宋_GBK" w:eastAsia="方正仿宋_GBK" w:cs="方正仿宋_GBK"/>
          <w:color w:val="auto"/>
          <w:lang w:eastAsia="zh-CN"/>
        </w:rPr>
        <w:t>，未</w:t>
      </w:r>
      <w:r>
        <w:rPr>
          <w:rFonts w:hint="eastAsia" w:ascii="方正仿宋_GBK" w:hAnsi="方正仿宋_GBK" w:eastAsia="方正仿宋_GBK" w:cs="方正仿宋_GBK"/>
          <w:color w:val="auto"/>
        </w:rPr>
        <w:t>被</w:t>
      </w:r>
      <w:r>
        <w:rPr>
          <w:rFonts w:hint="eastAsia" w:ascii="方正仿宋_GBK" w:hAnsi="方正仿宋_GBK" w:eastAsia="方正仿宋_GBK" w:cs="方正仿宋_GBK"/>
          <w:color w:val="auto"/>
          <w:lang w:val="en-US" w:eastAsia="zh-CN"/>
        </w:rPr>
        <w:t>国家金融监管总局（原</w:t>
      </w:r>
      <w:r>
        <w:rPr>
          <w:rFonts w:hint="eastAsia" w:ascii="方正仿宋_GBK" w:hAnsi="方正仿宋_GBK" w:eastAsia="方正仿宋_GBK" w:cs="方正仿宋_GBK"/>
          <w:color w:val="auto"/>
        </w:rPr>
        <w:t>银保监会</w:t>
      </w:r>
      <w:r>
        <w:rPr>
          <w:rFonts w:hint="eastAsia" w:ascii="方正仿宋_GBK" w:hAnsi="方正仿宋_GBK" w:eastAsia="方正仿宋_GBK" w:cs="方正仿宋_GBK"/>
          <w:color w:val="auto"/>
          <w:lang w:val="en-US" w:eastAsia="zh-CN"/>
        </w:rPr>
        <w:t>）</w:t>
      </w:r>
      <w:r>
        <w:rPr>
          <w:rFonts w:hint="eastAsia" w:ascii="方正仿宋_GBK" w:hAnsi="方正仿宋_GBK" w:eastAsia="方正仿宋_GBK" w:cs="方正仿宋_GBK"/>
          <w:color w:val="auto"/>
        </w:rPr>
        <w:t>、证监会等</w:t>
      </w:r>
      <w:r>
        <w:rPr>
          <w:rFonts w:hint="eastAsia" w:ascii="方正仿宋_GBK" w:hAnsi="方正仿宋_GBK" w:eastAsia="方正仿宋_GBK" w:cs="方正仿宋_GBK"/>
          <w:color w:val="auto"/>
          <w:lang w:val="en-US" w:eastAsia="zh-CN"/>
        </w:rPr>
        <w:t>金融</w:t>
      </w:r>
      <w:r>
        <w:rPr>
          <w:rFonts w:hint="eastAsia" w:ascii="方正仿宋_GBK" w:hAnsi="方正仿宋_GBK" w:eastAsia="方正仿宋_GBK" w:cs="方正仿宋_GBK"/>
          <w:color w:val="auto"/>
        </w:rPr>
        <w:t>监管</w:t>
      </w:r>
      <w:r>
        <w:rPr>
          <w:rFonts w:hint="eastAsia" w:ascii="方正仿宋_GBK" w:hAnsi="方正仿宋_GBK" w:eastAsia="方正仿宋_GBK" w:cs="方正仿宋_GBK"/>
          <w:color w:val="auto"/>
          <w:lang w:val="en-US" w:eastAsia="zh-CN"/>
        </w:rPr>
        <w:t>部门及其派出机构</w:t>
      </w:r>
      <w:r>
        <w:rPr>
          <w:rFonts w:hint="eastAsia" w:ascii="方正仿宋_GBK" w:hAnsi="方正仿宋_GBK" w:eastAsia="方正仿宋_GBK" w:cs="方正仿宋_GBK"/>
          <w:color w:val="auto"/>
        </w:rPr>
        <w:t>认定无法出具满足要求审计报告或拒绝受理其出具的审计报告</w:t>
      </w:r>
      <w:r>
        <w:rPr>
          <w:rFonts w:hint="eastAsia" w:ascii="方正仿宋_GBK" w:hAnsi="方正仿宋_GBK" w:eastAsia="方正仿宋_GBK" w:cs="方正仿宋_GBK"/>
          <w:color w:val="auto"/>
          <w:lang w:eastAsia="zh-CN"/>
        </w:rPr>
        <w:t>。</w:t>
      </w:r>
    </w:p>
    <w:p>
      <w:pPr>
        <w:spacing w:line="360" w:lineRule="exact"/>
        <w:ind w:firstLine="420" w:firstLineChars="200"/>
        <w:jc w:val="left"/>
        <w:rPr>
          <w:rFonts w:hint="eastAsia" w:ascii="方正仿宋_GBK" w:hAnsi="方正仿宋_GBK" w:eastAsia="方正仿宋_GBK" w:cs="方正仿宋_GBK"/>
          <w:b w:val="0"/>
          <w:color w:val="auto"/>
          <w:sz w:val="21"/>
          <w:szCs w:val="24"/>
          <w:lang w:eastAsia="zh-CN"/>
        </w:rPr>
      </w:pPr>
      <w:r>
        <w:rPr>
          <w:rFonts w:hint="eastAsia" w:ascii="方正仿宋_GBK" w:hAnsi="方正仿宋_GBK" w:eastAsia="方正仿宋_GBK" w:cs="方正仿宋_GBK"/>
          <w:color w:val="auto"/>
          <w:lang w:val="en-US" w:eastAsia="zh-CN"/>
        </w:rPr>
        <w:t>6.</w:t>
      </w:r>
      <w:r>
        <w:rPr>
          <w:rFonts w:hint="eastAsia" w:ascii="方正仿宋_GBK" w:hAnsi="方正仿宋_GBK" w:eastAsia="方正仿宋_GBK" w:cs="方正仿宋_GBK"/>
          <w:color w:val="auto"/>
        </w:rPr>
        <w:t>我方</w:t>
      </w:r>
      <w:r>
        <w:rPr>
          <w:rFonts w:hint="eastAsia" w:ascii="方正仿宋_GBK" w:hAnsi="方正仿宋_GBK" w:eastAsia="方正仿宋_GBK" w:cs="方正仿宋_GBK"/>
          <w:color w:val="auto"/>
          <w:lang w:eastAsia="zh-CN"/>
        </w:rPr>
        <w:t>符合</w:t>
      </w:r>
      <w:r>
        <w:rPr>
          <w:rFonts w:hint="eastAsia" w:ascii="方正仿宋_GBK" w:hAnsi="方正仿宋_GBK" w:eastAsia="方正仿宋_GBK" w:cs="方正仿宋_GBK"/>
          <w:b w:val="0"/>
          <w:color w:val="auto"/>
          <w:sz w:val="21"/>
          <w:szCs w:val="24"/>
          <w:highlight w:val="none"/>
        </w:rPr>
        <w:t>财政部</w:t>
      </w:r>
      <w:r>
        <w:rPr>
          <w:rFonts w:hint="eastAsia" w:ascii="方正仿宋_GBK" w:hAnsi="方正仿宋_GBK" w:eastAsia="方正仿宋_GBK" w:cs="方正仿宋_GBK"/>
          <w:b w:val="0"/>
          <w:color w:val="auto"/>
          <w:sz w:val="21"/>
          <w:szCs w:val="24"/>
          <w:highlight w:val="none"/>
          <w:lang w:val="en-US" w:eastAsia="zh-CN"/>
        </w:rPr>
        <w:t>和金融监管部门</w:t>
      </w:r>
      <w:r>
        <w:rPr>
          <w:rFonts w:hint="eastAsia" w:ascii="方正仿宋_GBK" w:hAnsi="方正仿宋_GBK" w:eastAsia="方正仿宋_GBK" w:cs="方正仿宋_GBK"/>
          <w:b w:val="0"/>
          <w:color w:val="auto"/>
          <w:sz w:val="21"/>
          <w:szCs w:val="24"/>
          <w:highlight w:val="none"/>
        </w:rPr>
        <w:t>规定的其他条件</w:t>
      </w:r>
      <w:r>
        <w:rPr>
          <w:rFonts w:hint="eastAsia" w:ascii="方正仿宋_GBK" w:hAnsi="方正仿宋_GBK" w:eastAsia="方正仿宋_GBK" w:cs="方正仿宋_GBK"/>
          <w:b w:val="0"/>
          <w:color w:val="auto"/>
          <w:sz w:val="21"/>
          <w:szCs w:val="24"/>
          <w:lang w:eastAsia="zh-CN"/>
        </w:rPr>
        <w:t>。</w:t>
      </w:r>
    </w:p>
    <w:p>
      <w:pPr>
        <w:spacing w:line="360" w:lineRule="exact"/>
        <w:ind w:firstLine="420" w:firstLineChars="200"/>
        <w:rPr>
          <w:rFonts w:ascii="方正仿宋_GBK" w:hAnsi="方正仿宋_GBK" w:eastAsia="方正仿宋_GBK" w:cs="方正仿宋_GBK"/>
          <w:color w:val="auto"/>
        </w:rPr>
      </w:pP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rPr>
        <w:t>以上事项如有虚假或隐瞒，我</w:t>
      </w:r>
      <w:r>
        <w:rPr>
          <w:rFonts w:hint="eastAsia" w:ascii="方正仿宋_GBK" w:hAnsi="方正仿宋_GBK" w:eastAsia="方正仿宋_GBK" w:cs="方正仿宋_GBK"/>
          <w:lang w:eastAsia="zh-CN"/>
        </w:rPr>
        <w:t>司</w:t>
      </w:r>
      <w:r>
        <w:rPr>
          <w:rFonts w:hint="eastAsia" w:ascii="方正仿宋_GBK" w:hAnsi="方正仿宋_GBK" w:eastAsia="方正仿宋_GBK" w:cs="方正仿宋_GBK"/>
        </w:rPr>
        <w:t>愿意承担一切后果，并不再寻求任何旨在减轻或免除法律责任的辩解。</w:t>
      </w:r>
    </w:p>
    <w:p>
      <w:pPr>
        <w:tabs>
          <w:tab w:val="left" w:pos="7200"/>
        </w:tabs>
        <w:spacing w:line="360" w:lineRule="auto"/>
        <w:ind w:firstLine="835" w:firstLineChars="398"/>
        <w:rPr>
          <w:rFonts w:ascii="方正仿宋_GBK" w:hAnsi="方正仿宋_GBK" w:eastAsia="方正仿宋_GBK" w:cs="方正仿宋_GBK"/>
          <w:u w:val="single"/>
        </w:rPr>
      </w:pPr>
      <w:r>
        <w:rPr>
          <w:rFonts w:hint="eastAsia" w:ascii="方正仿宋_GBK" w:hAnsi="方正仿宋_GBK" w:eastAsia="方正仿宋_GBK" w:cs="方正仿宋_GBK"/>
        </w:rPr>
        <w:t xml:space="preserve">                                 法定代表人签字或盖章：</w:t>
      </w:r>
      <w:r>
        <w:rPr>
          <w:rFonts w:hint="eastAsia" w:ascii="方正仿宋_GBK" w:hAnsi="方正仿宋_GBK" w:eastAsia="方正仿宋_GBK" w:cs="方正仿宋_GBK"/>
          <w:sz w:val="28"/>
          <w:szCs w:val="28"/>
          <w:u w:val="single"/>
        </w:rPr>
        <w:t xml:space="preserve">                       </w:t>
      </w:r>
    </w:p>
    <w:p>
      <w:pPr>
        <w:tabs>
          <w:tab w:val="left" w:pos="7200"/>
        </w:tabs>
        <w:spacing w:line="360" w:lineRule="auto"/>
        <w:ind w:firstLine="4187" w:firstLineChars="1994"/>
        <w:rPr>
          <w:rFonts w:ascii="方正仿宋_GBK" w:hAnsi="方正仿宋_GBK" w:eastAsia="方正仿宋_GBK" w:cs="方正仿宋_GBK"/>
        </w:rPr>
      </w:pPr>
      <w:r>
        <w:rPr>
          <w:rFonts w:hint="eastAsia" w:ascii="方正仿宋_GBK" w:hAnsi="方正仿宋_GBK" w:eastAsia="方正仿宋_GBK" w:cs="方正仿宋_GBK"/>
        </w:rPr>
        <w:t>磋商供应商（盖章）：</w:t>
      </w:r>
      <w:r>
        <w:rPr>
          <w:rFonts w:hint="eastAsia" w:ascii="方正仿宋_GBK" w:hAnsi="方正仿宋_GBK" w:eastAsia="方正仿宋_GBK" w:cs="方正仿宋_GBK"/>
          <w:sz w:val="28"/>
          <w:szCs w:val="28"/>
          <w:u w:val="single"/>
        </w:rPr>
        <w:t xml:space="preserve">                       </w:t>
      </w:r>
    </w:p>
    <w:p>
      <w:pPr>
        <w:snapToGrid w:val="0"/>
        <w:spacing w:before="50" w:after="156" w:afterLines="50" w:line="40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rPr>
        <w:t xml:space="preserve">                                               年    月    日</w:t>
      </w:r>
    </w:p>
    <w:p>
      <w:pPr>
        <w:spacing w:line="420" w:lineRule="exact"/>
        <w:ind w:firstLine="422" w:firstLineChars="200"/>
        <w:jc w:val="left"/>
        <w:rPr>
          <w:rFonts w:ascii="方正仿宋_GBK" w:hAnsi="方正仿宋_GBK" w:eastAsia="方正仿宋_GBK" w:cs="方正仿宋_GBK"/>
          <w:b/>
        </w:rPr>
      </w:pPr>
    </w:p>
    <w:p>
      <w:pPr>
        <w:spacing w:line="420" w:lineRule="exact"/>
        <w:ind w:firstLine="422" w:firstLineChars="200"/>
        <w:jc w:val="left"/>
        <w:rPr>
          <w:rFonts w:ascii="方正仿宋_GBK" w:hAnsi="方正仿宋_GBK" w:eastAsia="方正仿宋_GBK" w:cs="方正仿宋_GBK"/>
          <w:b/>
        </w:rPr>
      </w:pPr>
      <w:r>
        <w:rPr>
          <w:rFonts w:hint="eastAsia" w:ascii="方正仿宋_GBK" w:hAnsi="方正仿宋_GBK" w:eastAsia="方正仿宋_GBK" w:cs="方正仿宋_GBK"/>
          <w:b/>
        </w:rPr>
        <w:t>说明：磋商供应商应通过“信用中国” (www.creditchina.gov.cn) 网站进行信用查询，包括：失信被执行人、重大税收违法失信主体、政府采购严重违法失信行为记录名单、经营异常名录信息共四个网页截图，网页截图须显示磋商供应商名称以及查询结果。</w:t>
      </w: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六、</w:t>
      </w:r>
      <w:r>
        <w:rPr>
          <w:rFonts w:hint="eastAsia" w:ascii="方正仿宋_GBK" w:hAnsi="方正仿宋_GBK" w:eastAsia="方正仿宋_GBK" w:cs="方正仿宋_GBK"/>
          <w:b/>
          <w:bCs/>
          <w:sz w:val="32"/>
          <w:szCs w:val="32"/>
        </w:rPr>
        <w:t>商务信誉、资质证书复印件等</w:t>
      </w: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kern w:val="0"/>
          <w:sz w:val="32"/>
          <w:szCs w:val="32"/>
        </w:rPr>
      </w:pPr>
    </w:p>
    <w:p>
      <w:pPr>
        <w:snapToGrid w:val="0"/>
        <w:spacing w:before="50" w:after="156" w:afterLines="50"/>
        <w:jc w:val="lef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七、</w:t>
      </w:r>
      <w:r>
        <w:rPr>
          <w:rFonts w:hint="eastAsia" w:ascii="方正仿宋_GBK" w:hAnsi="方正仿宋_GBK" w:eastAsia="方正仿宋_GBK" w:cs="方正仿宋_GBK"/>
          <w:b/>
          <w:bCs/>
          <w:kern w:val="0"/>
          <w:sz w:val="32"/>
          <w:szCs w:val="32"/>
        </w:rPr>
        <w:t>类似案例的业绩证明文件：</w:t>
      </w:r>
    </w:p>
    <w:p>
      <w:pPr>
        <w:snapToGrid w:val="0"/>
        <w:ind w:left="480" w:hanging="480" w:hangingChars="20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磋商供应商同类项目实施情况一览表格式： </w:t>
      </w:r>
    </w:p>
    <w:p>
      <w:pPr>
        <w:snapToGrid w:val="0"/>
        <w:ind w:left="480" w:hanging="480" w:hangingChars="200"/>
        <w:rPr>
          <w:rFonts w:ascii="方正仿宋_GBK" w:hAnsi="方正仿宋_GBK" w:eastAsia="方正仿宋_GBK" w:cs="方正仿宋_GBK"/>
          <w:sz w:val="24"/>
        </w:rPr>
      </w:pPr>
    </w:p>
    <w:tbl>
      <w:tblPr>
        <w:tblStyle w:val="43"/>
        <w:tblW w:w="8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9"/>
        <w:gridCol w:w="1130"/>
        <w:gridCol w:w="1134"/>
        <w:gridCol w:w="1483"/>
        <w:gridCol w:w="1770"/>
        <w:gridCol w:w="14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5"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采购单位名称</w:t>
            </w:r>
          </w:p>
          <w:p>
            <w:pPr>
              <w:snapToGrid w:val="0"/>
              <w:spacing w:line="240" w:lineRule="exact"/>
              <w:jc w:val="center"/>
              <w:rPr>
                <w:rFonts w:ascii="方正仿宋_GBK" w:hAnsi="方正仿宋_GBK" w:eastAsia="方正仿宋_GBK" w:cs="方正仿宋_GBK"/>
                <w:szCs w:val="21"/>
              </w:rPr>
            </w:pPr>
          </w:p>
        </w:tc>
        <w:tc>
          <w:tcPr>
            <w:tcW w:w="113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项目起止日期</w:t>
            </w: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项目内容</w:t>
            </w:r>
          </w:p>
        </w:tc>
        <w:tc>
          <w:tcPr>
            <w:tcW w:w="177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bCs/>
                <w:kern w:val="0"/>
                <w:szCs w:val="21"/>
              </w:rPr>
              <w:t>项目简介</w:t>
            </w:r>
          </w:p>
        </w:tc>
        <w:tc>
          <w:tcPr>
            <w:tcW w:w="147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采购单位联系人及</w:t>
            </w:r>
          </w:p>
          <w:p>
            <w:pPr>
              <w:snapToGrid w:val="0"/>
              <w:spacing w:line="240" w:lineRule="exact"/>
              <w:jc w:val="center"/>
              <w:rPr>
                <w:rFonts w:ascii="方正仿宋_GBK" w:hAnsi="方正仿宋_GBK" w:eastAsia="方正仿宋_GBK" w:cs="方正仿宋_GBK"/>
                <w:sz w:val="18"/>
                <w:szCs w:val="20"/>
              </w:rPr>
            </w:pPr>
            <w:r>
              <w:rPr>
                <w:rFonts w:hint="eastAsia" w:ascii="方正仿宋_GBK" w:hAnsi="方正仿宋_GBK" w:eastAsia="方正仿宋_GBK" w:cs="方正仿宋_GBK"/>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55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13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方正仿宋_GBK" w:eastAsia="方正仿宋_GBK" w:cs="方正仿宋_GBK"/>
                <w:kern w:val="0"/>
                <w:sz w:val="20"/>
                <w:szCs w:val="18"/>
              </w:rPr>
            </w:pPr>
          </w:p>
        </w:tc>
        <w:tc>
          <w:tcPr>
            <w:tcW w:w="177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47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55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13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方正仿宋_GBK" w:eastAsia="方正仿宋_GBK" w:cs="方正仿宋_GBK"/>
                <w:sz w:val="20"/>
                <w:szCs w:val="20"/>
              </w:rPr>
            </w:pPr>
          </w:p>
        </w:tc>
        <w:tc>
          <w:tcPr>
            <w:tcW w:w="177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47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55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13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方正仿宋_GBK" w:eastAsia="方正仿宋_GBK" w:cs="方正仿宋_GBK"/>
                <w:sz w:val="20"/>
                <w:szCs w:val="20"/>
              </w:rPr>
            </w:pPr>
          </w:p>
        </w:tc>
        <w:tc>
          <w:tcPr>
            <w:tcW w:w="177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c>
          <w:tcPr>
            <w:tcW w:w="147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方正仿宋_GBK" w:hAnsi="方正仿宋_GBK" w:eastAsia="方正仿宋_GBK" w:cs="方正仿宋_GBK"/>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方正仿宋_GBK" w:eastAsia="方正仿宋_GBK" w:cs="方正仿宋_GBK"/>
                <w:sz w:val="20"/>
                <w:szCs w:val="20"/>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55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方正仿宋_GBK" w:eastAsia="方正仿宋_GBK" w:cs="方正仿宋_GBK"/>
                <w:sz w:val="20"/>
                <w:szCs w:val="20"/>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方正仿宋_GBK" w:eastAsia="方正仿宋_GBK" w:cs="方正仿宋_GBK"/>
                <w:sz w:val="20"/>
                <w:szCs w:val="20"/>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方正仿宋_GBK" w:eastAsia="方正仿宋_GBK" w:cs="方正仿宋_GBK"/>
                <w:sz w:val="20"/>
                <w:szCs w:val="20"/>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方正仿宋_GBK" w:hAnsi="方正仿宋_GBK" w:eastAsia="方正仿宋_GBK" w:cs="方正仿宋_GBK"/>
                <w:sz w:val="24"/>
                <w:szCs w:val="20"/>
              </w:rPr>
            </w:pPr>
          </w:p>
        </w:tc>
      </w:tr>
    </w:tbl>
    <w:p>
      <w:pPr>
        <w:snapToGrid w:val="0"/>
        <w:spacing w:before="152" w:after="160"/>
        <w:rPr>
          <w:rFonts w:ascii="方正仿宋_GBK" w:hAnsi="方正仿宋_GBK" w:eastAsia="方正仿宋_GBK" w:cs="方正仿宋_GBK"/>
          <w:sz w:val="24"/>
          <w:szCs w:val="20"/>
          <w:highlight w:val="none"/>
        </w:rPr>
      </w:pPr>
      <w:r>
        <w:rPr>
          <w:rFonts w:hint="eastAsia" w:ascii="方正仿宋_GBK" w:hAnsi="方正仿宋_GBK" w:eastAsia="方正仿宋_GBK" w:cs="方正仿宋_GBK"/>
          <w:sz w:val="24"/>
          <w:szCs w:val="20"/>
        </w:rPr>
        <w:t>注：以合同或本公告发布日回溯半年之内的中标通知书为依据，</w:t>
      </w:r>
      <w:r>
        <w:rPr>
          <w:rFonts w:hint="eastAsia" w:ascii="方正仿宋_GBK" w:hAnsi="方正仿宋_GBK" w:eastAsia="方正仿宋_GBK" w:cs="方正仿宋_GBK"/>
          <w:sz w:val="24"/>
          <w:szCs w:val="20"/>
          <w:highlight w:val="none"/>
          <w:lang w:eastAsia="zh-CN"/>
        </w:rPr>
        <w:t>加盖单位公章的合同</w:t>
      </w:r>
      <w:r>
        <w:rPr>
          <w:rFonts w:hint="eastAsia" w:ascii="方正仿宋_GBK" w:hAnsi="方正仿宋_GBK" w:eastAsia="方正仿宋_GBK" w:cs="方正仿宋_GBK"/>
          <w:sz w:val="24"/>
          <w:szCs w:val="20"/>
          <w:highlight w:val="none"/>
        </w:rPr>
        <w:t>复印件需装订在投标文件中。</w:t>
      </w:r>
    </w:p>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磋商供应商名称（盖章）：</w:t>
      </w:r>
      <w:r>
        <w:rPr>
          <w:rFonts w:hint="eastAsia" w:ascii="方正仿宋_GBK" w:hAnsi="方正仿宋_GBK" w:eastAsia="方正仿宋_GBK" w:cs="方正仿宋_GBK"/>
          <w:sz w:val="28"/>
          <w:szCs w:val="28"/>
          <w:u w:val="single"/>
        </w:rPr>
        <w:t xml:space="preserve">                       </w:t>
      </w:r>
    </w:p>
    <w:p>
      <w:pPr>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法定代表人或委托代理人签字或盖章：</w:t>
      </w:r>
      <w:r>
        <w:rPr>
          <w:rFonts w:hint="eastAsia" w:ascii="方正仿宋_GBK" w:hAnsi="方正仿宋_GBK" w:eastAsia="方正仿宋_GBK" w:cs="方正仿宋_GBK"/>
          <w:sz w:val="28"/>
          <w:szCs w:val="28"/>
          <w:u w:val="single"/>
        </w:rPr>
        <w:t xml:space="preserve">                       </w:t>
      </w:r>
    </w:p>
    <w:p>
      <w:pPr>
        <w:snapToGrid w:val="0"/>
        <w:spacing w:before="50" w:after="156" w:afterLines="50"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4"/>
        </w:rPr>
        <w:t>日期：</w:t>
      </w:r>
      <w:r>
        <w:rPr>
          <w:rFonts w:hint="eastAsia" w:ascii="方正仿宋_GBK" w:hAnsi="方正仿宋_GBK" w:eastAsia="方正仿宋_GBK" w:cs="方正仿宋_GBK"/>
          <w:sz w:val="28"/>
          <w:szCs w:val="28"/>
          <w:u w:val="single"/>
        </w:rPr>
        <w:t xml:space="preserve">                       </w:t>
      </w:r>
    </w:p>
    <w:p>
      <w:pPr>
        <w:pStyle w:val="22"/>
        <w:spacing w:line="400" w:lineRule="exact"/>
        <w:rPr>
          <w:rFonts w:ascii="方正仿宋_GBK" w:hAnsi="方正仿宋_GBK" w:eastAsia="方正仿宋_GBK" w:cs="方正仿宋_GBK"/>
          <w:kern w:val="0"/>
          <w:sz w:val="32"/>
          <w:szCs w:val="32"/>
        </w:rPr>
      </w:pPr>
    </w:p>
    <w:p>
      <w:pPr>
        <w:pStyle w:val="22"/>
        <w:spacing w:line="400" w:lineRule="exact"/>
        <w:rPr>
          <w:rFonts w:hint="eastAsia" w:ascii="方正仿宋_GBK" w:hAnsi="方正仿宋_GBK" w:eastAsia="方正仿宋_GBK" w:cs="方正仿宋_GBK"/>
          <w:kern w:val="0"/>
          <w:sz w:val="32"/>
          <w:szCs w:val="32"/>
        </w:rPr>
      </w:pPr>
    </w:p>
    <w:p>
      <w:pPr>
        <w:pStyle w:val="22"/>
        <w:spacing w:line="400" w:lineRule="exact"/>
        <w:rPr>
          <w:rFonts w:ascii="方正仿宋_GBK" w:hAnsi="方正仿宋_GBK" w:eastAsia="方正仿宋_GBK" w:cs="方正仿宋_GBK"/>
          <w:b/>
          <w:sz w:val="28"/>
          <w:szCs w:val="28"/>
        </w:rPr>
      </w:pPr>
      <w:r>
        <w:rPr>
          <w:rFonts w:hint="eastAsia" w:ascii="方正仿宋_GBK" w:hAnsi="方正仿宋_GBK" w:eastAsia="方正仿宋_GBK" w:cs="方正仿宋_GBK"/>
          <w:kern w:val="0"/>
          <w:sz w:val="32"/>
          <w:szCs w:val="32"/>
        </w:rPr>
        <w:t>八、拟投入人员情况表（格式）</w:t>
      </w:r>
    </w:p>
    <w:p>
      <w:pPr>
        <w:spacing w:line="360" w:lineRule="auto"/>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（一）拟承诺投入实施团队人员状况表</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22"/>
        <w:gridCol w:w="755"/>
        <w:gridCol w:w="543"/>
        <w:gridCol w:w="2542"/>
        <w:gridCol w:w="1275"/>
        <w:gridCol w:w="1763"/>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90" w:type="dxa"/>
            <w:vAlign w:val="center"/>
          </w:tcPr>
          <w:p>
            <w:pPr>
              <w:spacing w:line="340" w:lineRule="exact"/>
              <w:ind w:right="-110"/>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922" w:type="dxa"/>
            <w:vAlign w:val="center"/>
          </w:tcPr>
          <w:p>
            <w:pPr>
              <w:spacing w:line="340" w:lineRule="exact"/>
              <w:ind w:right="-11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755" w:type="dxa"/>
            <w:vAlign w:val="center"/>
          </w:tcPr>
          <w:p>
            <w:pPr>
              <w:spacing w:line="340" w:lineRule="exact"/>
              <w:ind w:right="12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543" w:type="dxa"/>
            <w:vAlign w:val="center"/>
          </w:tcPr>
          <w:p>
            <w:pPr>
              <w:spacing w:line="340" w:lineRule="exact"/>
              <w:ind w:right="12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年龄</w:t>
            </w:r>
          </w:p>
        </w:tc>
        <w:tc>
          <w:tcPr>
            <w:tcW w:w="2542" w:type="dxa"/>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参与方式</w:t>
            </w:r>
          </w:p>
          <w:p>
            <w:pPr>
              <w:spacing w:line="34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(全程驻场或阶段驻场)</w:t>
            </w:r>
          </w:p>
        </w:tc>
        <w:tc>
          <w:tcPr>
            <w:tcW w:w="1275" w:type="dxa"/>
            <w:vAlign w:val="center"/>
          </w:tcPr>
          <w:p>
            <w:pPr>
              <w:spacing w:line="34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从业时间（年）</w:t>
            </w:r>
          </w:p>
        </w:tc>
        <w:tc>
          <w:tcPr>
            <w:tcW w:w="1763" w:type="dxa"/>
            <w:vAlign w:val="center"/>
          </w:tcPr>
          <w:p>
            <w:pPr>
              <w:spacing w:line="34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拟任本项目角色</w:t>
            </w:r>
          </w:p>
        </w:tc>
        <w:tc>
          <w:tcPr>
            <w:tcW w:w="1103" w:type="dxa"/>
            <w:vAlign w:val="center"/>
          </w:tcPr>
          <w:p>
            <w:pPr>
              <w:spacing w:line="34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dxa"/>
          </w:tcPr>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922" w:type="dxa"/>
          </w:tcPr>
          <w:p>
            <w:pPr>
              <w:spacing w:line="360" w:lineRule="auto"/>
              <w:ind w:firstLine="540" w:firstLineChars="225"/>
              <w:rPr>
                <w:rFonts w:ascii="方正仿宋_GBK" w:hAnsi="方正仿宋_GBK" w:eastAsia="方正仿宋_GBK" w:cs="方正仿宋_GBK"/>
                <w:sz w:val="24"/>
              </w:rPr>
            </w:pPr>
          </w:p>
        </w:tc>
        <w:tc>
          <w:tcPr>
            <w:tcW w:w="755" w:type="dxa"/>
          </w:tcPr>
          <w:p>
            <w:pPr>
              <w:spacing w:line="360" w:lineRule="auto"/>
              <w:ind w:firstLine="540" w:firstLineChars="225"/>
              <w:rPr>
                <w:rFonts w:ascii="方正仿宋_GBK" w:hAnsi="方正仿宋_GBK" w:eastAsia="方正仿宋_GBK" w:cs="方正仿宋_GBK"/>
                <w:sz w:val="24"/>
              </w:rPr>
            </w:pPr>
          </w:p>
        </w:tc>
        <w:tc>
          <w:tcPr>
            <w:tcW w:w="543" w:type="dxa"/>
          </w:tcPr>
          <w:p>
            <w:pPr>
              <w:spacing w:line="360" w:lineRule="auto"/>
              <w:ind w:firstLine="540" w:firstLineChars="225"/>
              <w:rPr>
                <w:rFonts w:ascii="方正仿宋_GBK" w:hAnsi="方正仿宋_GBK" w:eastAsia="方正仿宋_GBK" w:cs="方正仿宋_GBK"/>
                <w:sz w:val="24"/>
              </w:rPr>
            </w:pPr>
          </w:p>
        </w:tc>
        <w:tc>
          <w:tcPr>
            <w:tcW w:w="2542" w:type="dxa"/>
          </w:tcPr>
          <w:p>
            <w:pPr>
              <w:spacing w:line="360" w:lineRule="auto"/>
              <w:ind w:firstLine="540" w:firstLineChars="225"/>
              <w:rPr>
                <w:rFonts w:ascii="方正仿宋_GBK" w:hAnsi="方正仿宋_GBK" w:eastAsia="方正仿宋_GBK" w:cs="方正仿宋_GBK"/>
                <w:sz w:val="24"/>
              </w:rPr>
            </w:pPr>
          </w:p>
        </w:tc>
        <w:tc>
          <w:tcPr>
            <w:tcW w:w="1275" w:type="dxa"/>
          </w:tcPr>
          <w:p>
            <w:pPr>
              <w:spacing w:line="360" w:lineRule="auto"/>
              <w:ind w:firstLine="540" w:firstLineChars="225"/>
              <w:rPr>
                <w:rFonts w:ascii="方正仿宋_GBK" w:hAnsi="方正仿宋_GBK" w:eastAsia="方正仿宋_GBK" w:cs="方正仿宋_GBK"/>
                <w:sz w:val="24"/>
              </w:rPr>
            </w:pPr>
          </w:p>
        </w:tc>
        <w:tc>
          <w:tcPr>
            <w:tcW w:w="1763" w:type="dxa"/>
          </w:tcPr>
          <w:p>
            <w:pPr>
              <w:spacing w:line="360" w:lineRule="auto"/>
              <w:ind w:firstLine="540" w:firstLineChars="225"/>
              <w:rPr>
                <w:rFonts w:ascii="方正仿宋_GBK" w:hAnsi="方正仿宋_GBK" w:eastAsia="方正仿宋_GBK" w:cs="方正仿宋_GBK"/>
                <w:sz w:val="24"/>
              </w:rPr>
            </w:pPr>
          </w:p>
        </w:tc>
        <w:tc>
          <w:tcPr>
            <w:tcW w:w="1103" w:type="dxa"/>
          </w:tcPr>
          <w:p>
            <w:pPr>
              <w:spacing w:line="360" w:lineRule="auto"/>
              <w:ind w:firstLine="540" w:firstLineChars="225"/>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tcPr>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922" w:type="dxa"/>
          </w:tcPr>
          <w:p>
            <w:pPr>
              <w:spacing w:line="360" w:lineRule="auto"/>
              <w:ind w:firstLine="540" w:firstLineChars="225"/>
              <w:rPr>
                <w:rFonts w:ascii="方正仿宋_GBK" w:hAnsi="方正仿宋_GBK" w:eastAsia="方正仿宋_GBK" w:cs="方正仿宋_GBK"/>
                <w:sz w:val="24"/>
              </w:rPr>
            </w:pPr>
          </w:p>
        </w:tc>
        <w:tc>
          <w:tcPr>
            <w:tcW w:w="755" w:type="dxa"/>
          </w:tcPr>
          <w:p>
            <w:pPr>
              <w:spacing w:line="360" w:lineRule="auto"/>
              <w:ind w:firstLine="540" w:firstLineChars="225"/>
              <w:rPr>
                <w:rFonts w:ascii="方正仿宋_GBK" w:hAnsi="方正仿宋_GBK" w:eastAsia="方正仿宋_GBK" w:cs="方正仿宋_GBK"/>
                <w:sz w:val="24"/>
              </w:rPr>
            </w:pPr>
          </w:p>
        </w:tc>
        <w:tc>
          <w:tcPr>
            <w:tcW w:w="543" w:type="dxa"/>
          </w:tcPr>
          <w:p>
            <w:pPr>
              <w:spacing w:line="360" w:lineRule="auto"/>
              <w:ind w:firstLine="540" w:firstLineChars="225"/>
              <w:rPr>
                <w:rFonts w:ascii="方正仿宋_GBK" w:hAnsi="方正仿宋_GBK" w:eastAsia="方正仿宋_GBK" w:cs="方正仿宋_GBK"/>
                <w:sz w:val="24"/>
              </w:rPr>
            </w:pPr>
          </w:p>
        </w:tc>
        <w:tc>
          <w:tcPr>
            <w:tcW w:w="2542" w:type="dxa"/>
          </w:tcPr>
          <w:p>
            <w:pPr>
              <w:spacing w:line="360" w:lineRule="auto"/>
              <w:ind w:firstLine="540" w:firstLineChars="225"/>
              <w:rPr>
                <w:rFonts w:ascii="方正仿宋_GBK" w:hAnsi="方正仿宋_GBK" w:eastAsia="方正仿宋_GBK" w:cs="方正仿宋_GBK"/>
                <w:sz w:val="24"/>
              </w:rPr>
            </w:pPr>
          </w:p>
        </w:tc>
        <w:tc>
          <w:tcPr>
            <w:tcW w:w="1275" w:type="dxa"/>
          </w:tcPr>
          <w:p>
            <w:pPr>
              <w:spacing w:line="360" w:lineRule="auto"/>
              <w:ind w:firstLine="540" w:firstLineChars="225"/>
              <w:rPr>
                <w:rFonts w:ascii="方正仿宋_GBK" w:hAnsi="方正仿宋_GBK" w:eastAsia="方正仿宋_GBK" w:cs="方正仿宋_GBK"/>
                <w:sz w:val="24"/>
              </w:rPr>
            </w:pPr>
          </w:p>
        </w:tc>
        <w:tc>
          <w:tcPr>
            <w:tcW w:w="1763" w:type="dxa"/>
          </w:tcPr>
          <w:p>
            <w:pPr>
              <w:spacing w:line="360" w:lineRule="auto"/>
              <w:ind w:firstLine="540" w:firstLineChars="225"/>
              <w:rPr>
                <w:rFonts w:ascii="方正仿宋_GBK" w:hAnsi="方正仿宋_GBK" w:eastAsia="方正仿宋_GBK" w:cs="方正仿宋_GBK"/>
                <w:sz w:val="24"/>
              </w:rPr>
            </w:pPr>
          </w:p>
        </w:tc>
        <w:tc>
          <w:tcPr>
            <w:tcW w:w="1103" w:type="dxa"/>
          </w:tcPr>
          <w:p>
            <w:pPr>
              <w:spacing w:line="360" w:lineRule="auto"/>
              <w:ind w:firstLine="540" w:firstLineChars="225"/>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90" w:type="dxa"/>
          </w:tcPr>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w:t>
            </w:r>
          </w:p>
        </w:tc>
        <w:tc>
          <w:tcPr>
            <w:tcW w:w="922" w:type="dxa"/>
          </w:tcPr>
          <w:p>
            <w:pPr>
              <w:spacing w:line="360" w:lineRule="auto"/>
              <w:ind w:firstLine="540" w:firstLineChars="225"/>
              <w:rPr>
                <w:rFonts w:ascii="方正仿宋_GBK" w:hAnsi="方正仿宋_GBK" w:eastAsia="方正仿宋_GBK" w:cs="方正仿宋_GBK"/>
                <w:sz w:val="24"/>
              </w:rPr>
            </w:pPr>
          </w:p>
        </w:tc>
        <w:tc>
          <w:tcPr>
            <w:tcW w:w="755" w:type="dxa"/>
          </w:tcPr>
          <w:p>
            <w:pPr>
              <w:spacing w:line="360" w:lineRule="auto"/>
              <w:ind w:firstLine="540" w:firstLineChars="225"/>
              <w:jc w:val="center"/>
              <w:rPr>
                <w:rFonts w:ascii="方正仿宋_GBK" w:hAnsi="方正仿宋_GBK" w:eastAsia="方正仿宋_GBK" w:cs="方正仿宋_GBK"/>
                <w:sz w:val="24"/>
              </w:rPr>
            </w:pPr>
          </w:p>
        </w:tc>
        <w:tc>
          <w:tcPr>
            <w:tcW w:w="543" w:type="dxa"/>
          </w:tcPr>
          <w:p>
            <w:pPr>
              <w:spacing w:line="360" w:lineRule="auto"/>
              <w:ind w:firstLine="540" w:firstLineChars="225"/>
              <w:rPr>
                <w:rFonts w:ascii="方正仿宋_GBK" w:hAnsi="方正仿宋_GBK" w:eastAsia="方正仿宋_GBK" w:cs="方正仿宋_GBK"/>
                <w:sz w:val="24"/>
              </w:rPr>
            </w:pPr>
          </w:p>
        </w:tc>
        <w:tc>
          <w:tcPr>
            <w:tcW w:w="2542" w:type="dxa"/>
          </w:tcPr>
          <w:p>
            <w:pPr>
              <w:spacing w:line="360" w:lineRule="auto"/>
              <w:ind w:firstLine="540" w:firstLineChars="225"/>
              <w:rPr>
                <w:rFonts w:ascii="方正仿宋_GBK" w:hAnsi="方正仿宋_GBK" w:eastAsia="方正仿宋_GBK" w:cs="方正仿宋_GBK"/>
                <w:sz w:val="24"/>
              </w:rPr>
            </w:pPr>
          </w:p>
        </w:tc>
        <w:tc>
          <w:tcPr>
            <w:tcW w:w="1275" w:type="dxa"/>
          </w:tcPr>
          <w:p>
            <w:pPr>
              <w:spacing w:line="360" w:lineRule="auto"/>
              <w:ind w:firstLine="540" w:firstLineChars="225"/>
              <w:rPr>
                <w:rFonts w:ascii="方正仿宋_GBK" w:hAnsi="方正仿宋_GBK" w:eastAsia="方正仿宋_GBK" w:cs="方正仿宋_GBK"/>
                <w:sz w:val="24"/>
              </w:rPr>
            </w:pPr>
          </w:p>
        </w:tc>
        <w:tc>
          <w:tcPr>
            <w:tcW w:w="1763" w:type="dxa"/>
          </w:tcPr>
          <w:p>
            <w:pPr>
              <w:spacing w:line="360" w:lineRule="auto"/>
              <w:ind w:firstLine="540" w:firstLineChars="225"/>
              <w:rPr>
                <w:rFonts w:ascii="方正仿宋_GBK" w:hAnsi="方正仿宋_GBK" w:eastAsia="方正仿宋_GBK" w:cs="方正仿宋_GBK"/>
                <w:sz w:val="24"/>
              </w:rPr>
            </w:pPr>
          </w:p>
        </w:tc>
        <w:tc>
          <w:tcPr>
            <w:tcW w:w="1103" w:type="dxa"/>
          </w:tcPr>
          <w:p>
            <w:pPr>
              <w:spacing w:line="360" w:lineRule="auto"/>
              <w:ind w:firstLine="540" w:firstLineChars="225"/>
              <w:rPr>
                <w:rFonts w:ascii="方正仿宋_GBK" w:hAnsi="方正仿宋_GBK" w:eastAsia="方正仿宋_GBK" w:cs="方正仿宋_GBK"/>
                <w:sz w:val="24"/>
              </w:rPr>
            </w:pPr>
          </w:p>
        </w:tc>
      </w:tr>
    </w:tbl>
    <w:p>
      <w:pPr>
        <w:spacing w:line="360" w:lineRule="auto"/>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（二）拟投入本项目实施人员个人简历表</w:t>
      </w:r>
    </w:p>
    <w:tbl>
      <w:tblPr>
        <w:tblStyle w:val="43"/>
        <w:tblW w:w="9765" w:type="dxa"/>
        <w:tblInd w:w="8" w:type="dxa"/>
        <w:tblLayout w:type="fixed"/>
        <w:tblCellMar>
          <w:top w:w="0" w:type="dxa"/>
          <w:left w:w="0" w:type="dxa"/>
          <w:bottom w:w="0" w:type="dxa"/>
          <w:right w:w="0" w:type="dxa"/>
        </w:tblCellMar>
      </w:tblPr>
      <w:tblGrid>
        <w:gridCol w:w="852"/>
        <w:gridCol w:w="735"/>
        <w:gridCol w:w="1191"/>
        <w:gridCol w:w="418"/>
        <w:gridCol w:w="694"/>
        <w:gridCol w:w="1412"/>
        <w:gridCol w:w="69"/>
        <w:gridCol w:w="814"/>
        <w:gridCol w:w="1125"/>
        <w:gridCol w:w="1170"/>
        <w:gridCol w:w="1285"/>
      </w:tblGrid>
      <w:tr>
        <w:tblPrEx>
          <w:tblCellMar>
            <w:top w:w="0" w:type="dxa"/>
            <w:left w:w="0" w:type="dxa"/>
            <w:bottom w:w="0" w:type="dxa"/>
            <w:right w:w="0" w:type="dxa"/>
          </w:tblCellMar>
        </w:tblPrEx>
        <w:trPr>
          <w:trHeight w:val="512" w:hRule="atLeast"/>
        </w:trPr>
        <w:tc>
          <w:tcPr>
            <w:tcW w:w="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姓名</w:t>
            </w:r>
          </w:p>
        </w:tc>
        <w:tc>
          <w:tcPr>
            <w:tcW w:w="19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111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性别</w:t>
            </w:r>
          </w:p>
        </w:tc>
        <w:tc>
          <w:tcPr>
            <w:tcW w:w="14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88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年龄</w:t>
            </w:r>
          </w:p>
        </w:tc>
        <w:tc>
          <w:tcPr>
            <w:tcW w:w="11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11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政治面貌</w:t>
            </w:r>
          </w:p>
        </w:tc>
        <w:tc>
          <w:tcPr>
            <w:tcW w:w="12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r>
      <w:tr>
        <w:tblPrEx>
          <w:tblCellMar>
            <w:top w:w="0" w:type="dxa"/>
            <w:left w:w="0" w:type="dxa"/>
            <w:bottom w:w="0" w:type="dxa"/>
            <w:right w:w="0" w:type="dxa"/>
          </w:tblCellMar>
        </w:tblPrEx>
        <w:trPr>
          <w:trHeight w:val="502" w:hRule="atLeast"/>
        </w:trPr>
        <w:tc>
          <w:tcPr>
            <w:tcW w:w="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职务</w:t>
            </w:r>
          </w:p>
        </w:tc>
        <w:tc>
          <w:tcPr>
            <w:tcW w:w="19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111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职称</w:t>
            </w:r>
          </w:p>
        </w:tc>
        <w:tc>
          <w:tcPr>
            <w:tcW w:w="14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88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学历</w:t>
            </w:r>
          </w:p>
        </w:tc>
        <w:tc>
          <w:tcPr>
            <w:tcW w:w="11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11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健康状况</w:t>
            </w:r>
          </w:p>
        </w:tc>
        <w:tc>
          <w:tcPr>
            <w:tcW w:w="12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r>
      <w:tr>
        <w:tblPrEx>
          <w:tblCellMar>
            <w:top w:w="0" w:type="dxa"/>
            <w:left w:w="0" w:type="dxa"/>
            <w:bottom w:w="0" w:type="dxa"/>
            <w:right w:w="0" w:type="dxa"/>
          </w:tblCellMar>
        </w:tblPrEx>
        <w:trPr>
          <w:trHeight w:val="451" w:hRule="atLeast"/>
        </w:trPr>
        <w:tc>
          <w:tcPr>
            <w:tcW w:w="277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毕业院校/专业</w:t>
            </w:r>
          </w:p>
        </w:tc>
        <w:tc>
          <w:tcPr>
            <w:tcW w:w="2593"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1939"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参加工作时间</w:t>
            </w:r>
          </w:p>
        </w:tc>
        <w:tc>
          <w:tcPr>
            <w:tcW w:w="245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r>
      <w:tr>
        <w:tblPrEx>
          <w:tblCellMar>
            <w:top w:w="0" w:type="dxa"/>
            <w:left w:w="0" w:type="dxa"/>
            <w:bottom w:w="0" w:type="dxa"/>
            <w:right w:w="0" w:type="dxa"/>
          </w:tblCellMar>
        </w:tblPrEx>
        <w:trPr>
          <w:trHeight w:val="457" w:hRule="atLeast"/>
        </w:trPr>
        <w:tc>
          <w:tcPr>
            <w:tcW w:w="277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技术职称编号</w:t>
            </w:r>
          </w:p>
        </w:tc>
        <w:tc>
          <w:tcPr>
            <w:tcW w:w="6987"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r>
      <w:tr>
        <w:tblPrEx>
          <w:tblCellMar>
            <w:top w:w="0" w:type="dxa"/>
            <w:left w:w="0" w:type="dxa"/>
            <w:bottom w:w="0" w:type="dxa"/>
            <w:right w:w="0" w:type="dxa"/>
          </w:tblCellMar>
        </w:tblPrEx>
        <w:tc>
          <w:tcPr>
            <w:tcW w:w="9765"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类似项目服务情况</w:t>
            </w:r>
          </w:p>
        </w:tc>
      </w:tr>
      <w:tr>
        <w:tblPrEx>
          <w:tblCellMar>
            <w:top w:w="0" w:type="dxa"/>
            <w:left w:w="0" w:type="dxa"/>
            <w:bottom w:w="0" w:type="dxa"/>
            <w:right w:w="0" w:type="dxa"/>
          </w:tblCellMar>
        </w:tblPrEx>
        <w:tc>
          <w:tcPr>
            <w:tcW w:w="15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项目实施单位</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项目名称</w:t>
            </w:r>
          </w:p>
        </w:tc>
        <w:tc>
          <w:tcPr>
            <w:tcW w:w="210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项目起止日期</w:t>
            </w:r>
          </w:p>
        </w:tc>
        <w:tc>
          <w:tcPr>
            <w:tcW w:w="200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项目角色</w:t>
            </w:r>
          </w:p>
        </w:tc>
        <w:tc>
          <w:tcPr>
            <w:tcW w:w="245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工作职责及工作内容</w:t>
            </w:r>
          </w:p>
        </w:tc>
      </w:tr>
      <w:tr>
        <w:tblPrEx>
          <w:tblCellMar>
            <w:top w:w="0" w:type="dxa"/>
            <w:left w:w="0" w:type="dxa"/>
            <w:bottom w:w="0" w:type="dxa"/>
            <w:right w:w="0" w:type="dxa"/>
          </w:tblCellMar>
        </w:tblPrEx>
        <w:trPr>
          <w:trHeight w:val="421" w:hRule="atLeast"/>
        </w:trPr>
        <w:tc>
          <w:tcPr>
            <w:tcW w:w="15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160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210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200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245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r>
      <w:tr>
        <w:tblPrEx>
          <w:tblCellMar>
            <w:top w:w="0" w:type="dxa"/>
            <w:left w:w="0" w:type="dxa"/>
            <w:bottom w:w="0" w:type="dxa"/>
            <w:right w:w="0" w:type="dxa"/>
          </w:tblCellMar>
        </w:tblPrEx>
        <w:tc>
          <w:tcPr>
            <w:tcW w:w="15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160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210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200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c>
          <w:tcPr>
            <w:tcW w:w="245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方正仿宋_GBK" w:hAnsi="方正仿宋_GBK" w:eastAsia="方正仿宋_GBK" w:cs="方正仿宋_GBK"/>
                <w:kern w:val="0"/>
                <w:sz w:val="24"/>
              </w:rPr>
            </w:pPr>
          </w:p>
        </w:tc>
      </w:tr>
    </w:tbl>
    <w:p>
      <w:pPr>
        <w:spacing w:line="360" w:lineRule="exact"/>
        <w:rPr>
          <w:rFonts w:ascii="方正仿宋_GBK" w:hAnsi="方正仿宋_GBK" w:eastAsia="方正仿宋_GBK" w:cs="方正仿宋_GBK"/>
          <w:b/>
          <w:sz w:val="24"/>
        </w:rPr>
      </w:pPr>
      <w:r>
        <w:rPr>
          <w:rFonts w:hint="eastAsia" w:ascii="方正仿宋_GBK" w:hAnsi="方正仿宋_GBK" w:eastAsia="方正仿宋_GBK" w:cs="方正仿宋_GBK"/>
          <w:b/>
          <w:sz w:val="24"/>
        </w:rPr>
        <w:t>说明：</w:t>
      </w:r>
    </w:p>
    <w:p>
      <w:pPr>
        <w:autoSpaceDE w:val="0"/>
        <w:autoSpaceDN w:val="0"/>
        <w:adjustRightInd w:val="0"/>
        <w:spacing w:line="360" w:lineRule="exact"/>
        <w:jc w:val="left"/>
        <w:rPr>
          <w:rFonts w:ascii="方正仿宋_GBK" w:hAnsi="方正仿宋_GBK" w:eastAsia="方正仿宋_GBK" w:cs="方正仿宋_GBK"/>
        </w:rPr>
      </w:pPr>
      <w:r>
        <w:rPr>
          <w:rFonts w:hint="eastAsia" w:ascii="方正仿宋_GBK" w:hAnsi="方正仿宋_GBK" w:eastAsia="方正仿宋_GBK" w:cs="方正仿宋_GBK"/>
          <w:b/>
          <w:sz w:val="24"/>
        </w:rPr>
        <w:t xml:space="preserve">   </w:t>
      </w:r>
      <w:r>
        <w:rPr>
          <w:rFonts w:hint="eastAsia" w:ascii="方正仿宋_GBK" w:hAnsi="方正仿宋_GBK" w:eastAsia="方正仿宋_GBK" w:cs="方正仿宋_GBK"/>
          <w:b/>
          <w:kern w:val="0"/>
          <w:sz w:val="24"/>
        </w:rPr>
        <w:t xml:space="preserve"> 项目团队须提供人员简历、学历证书复印件、职称证书/资质证书复印件（如有）、</w:t>
      </w:r>
      <w:r>
        <w:rPr>
          <w:rFonts w:hint="eastAsia" w:ascii="方正仿宋_GBK" w:hAnsi="方正仿宋_GBK" w:eastAsia="方正仿宋_GBK" w:cs="方正仿宋_GBK"/>
          <w:b/>
          <w:kern w:val="0"/>
          <w:sz w:val="24"/>
          <w:szCs w:val="24"/>
          <w:highlight w:val="none"/>
        </w:rPr>
        <w:t>竞标截止之日前半年内</w:t>
      </w:r>
      <w:r>
        <w:rPr>
          <w:rFonts w:hint="eastAsia" w:ascii="方正仿宋_GBK" w:hAnsi="方正仿宋_GBK" w:eastAsia="方正仿宋_GBK" w:cs="方正仿宋_GBK"/>
          <w:b/>
          <w:color w:val="auto"/>
          <w:kern w:val="0"/>
          <w:sz w:val="24"/>
          <w:szCs w:val="24"/>
          <w:highlight w:val="none"/>
        </w:rPr>
        <w:t>连续不少于三个月投标人为其缴纳社保的证明</w:t>
      </w:r>
      <w:r>
        <w:rPr>
          <w:rFonts w:hint="eastAsia" w:ascii="方正仿宋_GBK" w:hAnsi="方正仿宋_GBK" w:eastAsia="方正仿宋_GBK" w:cs="方正仿宋_GBK"/>
          <w:b/>
          <w:kern w:val="0"/>
          <w:sz w:val="24"/>
        </w:rPr>
        <w:t>。简历格式自拟，内容须包括但不限于姓名、职务、性别、年龄、毕业院校/专业、工作经历，在以往项目中的岗位、工作职责及工作内容、所起的作用，在本项目的工作职责及工作内容等。如有用户方提供的针对项目、项目组、成员的工作鉴定表、用户评价表、表扬信、获奖证书，随附件一并提供。</w:t>
      </w:r>
    </w:p>
    <w:p>
      <w:pPr>
        <w:rPr>
          <w:rFonts w:ascii="方正仿宋_GBK" w:hAnsi="方正仿宋_GBK" w:eastAsia="方正仿宋_GBK" w:cs="方正仿宋_GBK"/>
          <w:sz w:val="24"/>
        </w:rPr>
      </w:pPr>
      <w:r>
        <w:rPr>
          <w:rFonts w:hint="eastAsia" w:ascii="方正仿宋_GBK" w:hAnsi="方正仿宋_GBK" w:eastAsia="方正仿宋_GBK" w:cs="方正仿宋_GBK"/>
          <w:sz w:val="24"/>
        </w:rPr>
        <w:t>磋商供应商名称（盖章）：</w:t>
      </w:r>
      <w:r>
        <w:rPr>
          <w:rFonts w:hint="eastAsia" w:ascii="方正仿宋_GBK" w:hAnsi="方正仿宋_GBK" w:eastAsia="方正仿宋_GBK" w:cs="方正仿宋_GBK"/>
          <w:sz w:val="28"/>
          <w:szCs w:val="28"/>
          <w:u w:val="single"/>
        </w:rPr>
        <w:t xml:space="preserve">                       </w:t>
      </w:r>
    </w:p>
    <w:p>
      <w:pPr>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法定代表人或委托代理人签字或盖章：</w:t>
      </w:r>
      <w:r>
        <w:rPr>
          <w:rFonts w:hint="eastAsia" w:ascii="方正仿宋_GBK" w:hAnsi="方正仿宋_GBK" w:eastAsia="方正仿宋_GBK" w:cs="方正仿宋_GBK"/>
          <w:sz w:val="28"/>
          <w:szCs w:val="28"/>
          <w:u w:val="single"/>
        </w:rPr>
        <w:t xml:space="preserve">                       </w:t>
      </w:r>
    </w:p>
    <w:p>
      <w:pPr>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日期：</w:t>
      </w:r>
      <w:r>
        <w:rPr>
          <w:rFonts w:hint="eastAsia" w:ascii="方正仿宋_GBK" w:hAnsi="方正仿宋_GBK" w:eastAsia="方正仿宋_GBK" w:cs="方正仿宋_GBK"/>
          <w:sz w:val="28"/>
          <w:szCs w:val="28"/>
          <w:u w:val="single"/>
        </w:rPr>
        <w:t xml:space="preserve">                       </w:t>
      </w:r>
    </w:p>
    <w:p>
      <w:pPr>
        <w:snapToGrid w:val="0"/>
        <w:spacing w:before="50" w:after="156" w:afterLines="50"/>
        <w:jc w:val="left"/>
        <w:rPr>
          <w:rFonts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九、工作服务方案（格式自拟）</w:t>
      </w:r>
    </w:p>
    <w:p>
      <w:pPr>
        <w:pStyle w:val="172"/>
        <w:adjustRightInd w:val="0"/>
        <w:snapToGrid w:val="0"/>
        <w:spacing w:before="0" w:after="0" w:line="360" w:lineRule="auto"/>
        <w:jc w:val="lef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可包括（但不限于）下列内容：</w:t>
      </w:r>
    </w:p>
    <w:p>
      <w:pPr>
        <w:pStyle w:val="18"/>
        <w:numPr>
          <w:ilvl w:val="0"/>
          <w:numId w:val="3"/>
        </w:num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项目建设方案（格式自拟，内容包括但不限于本采购文件的“第二章 采购需求”中的要求）；</w:t>
      </w:r>
    </w:p>
    <w:p>
      <w:pPr>
        <w:pStyle w:val="18"/>
        <w:numPr>
          <w:ilvl w:val="0"/>
          <w:numId w:val="3"/>
        </w:num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技术方案；</w:t>
      </w:r>
    </w:p>
    <w:p>
      <w:pPr>
        <w:pStyle w:val="18"/>
        <w:numPr>
          <w:ilvl w:val="0"/>
          <w:numId w:val="3"/>
        </w:num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实施方案及</w:t>
      </w:r>
      <w:r>
        <w:rPr>
          <w:rFonts w:hint="eastAsia" w:ascii="方正仿宋_GBK" w:hAnsi="方正仿宋_GBK" w:eastAsia="方正仿宋_GBK" w:cs="方正仿宋_GBK"/>
          <w:kern w:val="2"/>
          <w:sz w:val="24"/>
          <w:szCs w:val="24"/>
        </w:rPr>
        <w:t>运营服务方案；</w:t>
      </w:r>
    </w:p>
    <w:p>
      <w:pPr>
        <w:pStyle w:val="18"/>
        <w:numPr>
          <w:ilvl w:val="0"/>
          <w:numId w:val="3"/>
        </w:num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售后服务及培训服务方案；</w:t>
      </w:r>
    </w:p>
    <w:p>
      <w:pPr>
        <w:pStyle w:val="18"/>
        <w:numPr>
          <w:ilvl w:val="0"/>
          <w:numId w:val="3"/>
        </w:num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其它需要说明的问题(如有，格式和内容自拟)。</w:t>
      </w:r>
    </w:p>
    <w:p>
      <w:pPr>
        <w:pStyle w:val="6"/>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sz w:val="24"/>
        </w:rPr>
      </w:pPr>
      <w:r>
        <w:rPr>
          <w:rFonts w:hint="eastAsia" w:ascii="方正仿宋_GBK" w:hAnsi="方正仿宋_GBK" w:eastAsia="方正仿宋_GBK" w:cs="方正仿宋_GBK"/>
          <w:sz w:val="24"/>
        </w:rPr>
        <w:t>磋商供应商名称（盖章）：</w:t>
      </w:r>
      <w:r>
        <w:rPr>
          <w:rFonts w:hint="eastAsia" w:ascii="方正仿宋_GBK" w:hAnsi="方正仿宋_GBK" w:eastAsia="方正仿宋_GBK" w:cs="方正仿宋_GBK"/>
          <w:sz w:val="28"/>
          <w:szCs w:val="28"/>
          <w:u w:val="single"/>
        </w:rPr>
        <w:t xml:space="preserve">                       </w:t>
      </w:r>
    </w:p>
    <w:p>
      <w:pPr>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法定代表人或委托代理人签字或盖章：</w:t>
      </w:r>
      <w:r>
        <w:rPr>
          <w:rFonts w:hint="eastAsia" w:ascii="方正仿宋_GBK" w:hAnsi="方正仿宋_GBK" w:eastAsia="方正仿宋_GBK" w:cs="方正仿宋_GBK"/>
          <w:sz w:val="28"/>
          <w:szCs w:val="28"/>
          <w:u w:val="single"/>
        </w:rPr>
        <w:t xml:space="preserve">                       </w:t>
      </w:r>
    </w:p>
    <w:p>
      <w:pPr>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日期：</w:t>
      </w:r>
      <w:r>
        <w:rPr>
          <w:rFonts w:hint="eastAsia" w:ascii="方正仿宋_GBK" w:hAnsi="方正仿宋_GBK" w:eastAsia="方正仿宋_GBK" w:cs="方正仿宋_GBK"/>
          <w:sz w:val="28"/>
          <w:szCs w:val="28"/>
          <w:u w:val="single"/>
        </w:rPr>
        <w:t xml:space="preserve">                       </w:t>
      </w:r>
    </w:p>
    <w:p>
      <w:pPr>
        <w:rPr>
          <w:rFonts w:ascii="方正仿宋_GBK" w:hAnsi="方正仿宋_GBK" w:eastAsia="方正仿宋_GBK" w:cs="方正仿宋_GBK"/>
        </w:rPr>
      </w:pPr>
    </w:p>
    <w:p>
      <w:pPr>
        <w:rPr>
          <w:rFonts w:ascii="方正仿宋_GBK" w:hAnsi="方正仿宋_GBK" w:eastAsia="方正仿宋_GBK" w:cs="方正仿宋_GBK"/>
        </w:rPr>
      </w:pPr>
    </w:p>
    <w:p>
      <w:pPr>
        <w:pStyle w:val="6"/>
        <w:rPr>
          <w:rFonts w:ascii="方正仿宋_GBK" w:hAnsi="方正仿宋_GBK" w:eastAsia="方正仿宋_GBK" w:cs="方正仿宋_GBK"/>
        </w:rPr>
      </w:pPr>
    </w:p>
    <w:p>
      <w:pPr>
        <w:snapToGrid w:val="0"/>
        <w:spacing w:before="50" w:after="50" w:line="520" w:lineRule="exact"/>
        <w:ind w:right="-44" w:rightChars="-21"/>
        <w:rPr>
          <w:rFonts w:ascii="方正仿宋_GBK" w:hAnsi="方正仿宋_GBK" w:eastAsia="方正仿宋_GBK" w:cs="方正仿宋_GBK"/>
        </w:rPr>
      </w:pPr>
      <w:r>
        <w:rPr>
          <w:rFonts w:hint="eastAsia" w:ascii="方正仿宋_GBK" w:hAnsi="方正仿宋_GBK" w:eastAsia="方正仿宋_GBK" w:cs="方正仿宋_GBK"/>
          <w:b/>
          <w:bCs/>
          <w:kern w:val="0"/>
          <w:sz w:val="32"/>
          <w:szCs w:val="32"/>
        </w:rPr>
        <w:t>十、其他文书、文件格式</w:t>
      </w:r>
    </w:p>
    <w:p>
      <w:pPr>
        <w:widowControl/>
        <w:spacing w:line="360" w:lineRule="exact"/>
        <w:rPr>
          <w:rFonts w:ascii="方正仿宋_GBK" w:hAnsi="方正仿宋_GBK" w:eastAsia="方正仿宋_GBK" w:cs="方正仿宋_GBK"/>
          <w:b/>
          <w:szCs w:val="21"/>
        </w:rPr>
      </w:pPr>
    </w:p>
    <w:p>
      <w:pPr>
        <w:widowControl/>
        <w:spacing w:line="360" w:lineRule="exact"/>
        <w:rPr>
          <w:rFonts w:ascii="方正仿宋_GBK" w:hAnsi="方正仿宋_GBK" w:eastAsia="方正仿宋_GBK" w:cs="方正仿宋_GBK"/>
          <w:b/>
          <w:szCs w:val="21"/>
        </w:rPr>
      </w:pPr>
    </w:p>
    <w:p>
      <w:pPr>
        <w:tabs>
          <w:tab w:val="left" w:pos="1282"/>
        </w:tabs>
        <w:jc w:val="left"/>
        <w:rPr>
          <w:lang w:val="en-US" w:eastAsia="zh-CN"/>
        </w:rPr>
      </w:pPr>
    </w:p>
    <w:p>
      <w:pPr>
        <w:pStyle w:val="6"/>
        <w:rPr>
          <w:lang w:val="en-US" w:eastAsia="zh-CN"/>
        </w:rPr>
      </w:pPr>
    </w:p>
    <w:p>
      <w:pPr>
        <w:rPr>
          <w:lang w:val="en-US" w:eastAsia="zh-CN"/>
        </w:rPr>
      </w:pPr>
    </w:p>
    <w:p>
      <w:pPr>
        <w:pStyle w:val="6"/>
        <w:rPr>
          <w:lang w:val="en-US" w:eastAsia="zh-CN"/>
        </w:rPr>
      </w:pPr>
    </w:p>
    <w:p>
      <w:pPr>
        <w:pStyle w:val="18"/>
        <w:spacing w:before="11"/>
        <w:ind w:left="0"/>
        <w:jc w:val="center"/>
        <w:rPr>
          <w:rFonts w:hint="eastAsia" w:ascii="黑体" w:hAnsi="黑体" w:eastAsia="黑体"/>
          <w:color w:val="000000" w:themeColor="text1"/>
          <w:sz w:val="40"/>
          <w:szCs w:val="40"/>
          <w:lang w:eastAsia="zh-CN"/>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lang w:eastAsia="zh-CN"/>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lang w:eastAsia="zh-CN"/>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lang w:eastAsia="zh-CN"/>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lang w:eastAsia="zh-CN"/>
          <w14:textFill>
            <w14:solidFill>
              <w14:schemeClr w14:val="tx1"/>
            </w14:solidFill>
          </w14:textFill>
        </w:rPr>
      </w:pPr>
    </w:p>
    <w:p>
      <w:pPr>
        <w:pStyle w:val="18"/>
        <w:spacing w:before="11"/>
        <w:ind w:left="0"/>
        <w:jc w:val="cente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第五章</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合同格式</w:t>
      </w:r>
    </w:p>
    <w:p>
      <w:pPr>
        <w:pStyle w:val="18"/>
        <w:spacing w:before="11"/>
        <w:ind w:left="0"/>
        <w:jc w:val="both"/>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spacing w:before="11"/>
        <w:ind w:left="0"/>
        <w:jc w:val="center"/>
        <w:rPr>
          <w:rFonts w:hint="eastAsia" w:ascii="黑体" w:hAnsi="黑体" w:eastAsia="黑体"/>
          <w:color w:val="000000" w:themeColor="text1"/>
          <w:sz w:val="40"/>
          <w:szCs w:val="40"/>
          <w14:textFill>
            <w14:solidFill>
              <w14:schemeClr w14:val="tx1"/>
            </w14:solidFill>
          </w14:textFill>
        </w:rPr>
      </w:pPr>
    </w:p>
    <w:p>
      <w:pPr>
        <w:pStyle w:val="18"/>
        <w:keepNext w:val="0"/>
        <w:keepLines w:val="0"/>
        <w:pageBreakBefore w:val="0"/>
        <w:widowControl w:val="0"/>
        <w:kinsoku/>
        <w:wordWrap/>
        <w:overflowPunct/>
        <w:topLinePunct w:val="0"/>
        <w:autoSpaceDE w:val="0"/>
        <w:autoSpaceDN w:val="0"/>
        <w:bidi w:val="0"/>
        <w:adjustRightInd w:val="0"/>
        <w:snapToGrid/>
        <w:spacing w:before="11" w:line="560" w:lineRule="exact"/>
        <w:ind w:left="0"/>
        <w:jc w:val="center"/>
        <w:textAlignment w:val="auto"/>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2"/>
          <w:szCs w:val="32"/>
          <w14:textFill>
            <w14:solidFill>
              <w14:schemeClr w14:val="tx1"/>
            </w14:solidFill>
          </w14:textFill>
        </w:rPr>
        <w:t>广西北部湾银行</w:t>
      </w:r>
      <w:r>
        <w:rPr>
          <w:rFonts w:hint="eastAsia" w:ascii="方正小标宋_GBK" w:hAnsi="方正小标宋_GBK" w:eastAsia="方正小标宋_GBK" w:cs="方正小标宋_GBK"/>
          <w:b w:val="0"/>
          <w:bCs w:val="0"/>
          <w:color w:val="000000" w:themeColor="text1"/>
          <w:sz w:val="32"/>
          <w:szCs w:val="32"/>
          <w:lang w:eastAsia="zh-CN"/>
          <w14:textFill>
            <w14:solidFill>
              <w14:schemeClr w14:val="tx1"/>
            </w14:solidFill>
          </w14:textFill>
        </w:rPr>
        <w:t>2023年度</w:t>
      </w:r>
      <w:r>
        <w:rPr>
          <w:rFonts w:hint="eastAsia" w:ascii="方正小标宋_GBK" w:hAnsi="方正小标宋_GBK" w:eastAsia="方正小标宋_GBK" w:cs="方正小标宋_GBK"/>
          <w:b w:val="0"/>
          <w:bCs w:val="0"/>
          <w:color w:val="000000" w:themeColor="text1"/>
          <w:sz w:val="32"/>
          <w:szCs w:val="32"/>
          <w14:textFill>
            <w14:solidFill>
              <w14:schemeClr w14:val="tx1"/>
            </w14:solidFill>
          </w14:textFill>
        </w:rPr>
        <w:t>理财业务</w:t>
      </w:r>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及理财产品</w:t>
      </w:r>
      <w:r>
        <w:rPr>
          <w:rFonts w:hint="eastAsia" w:ascii="方正小标宋_GBK" w:hAnsi="方正小标宋_GBK" w:eastAsia="方正小标宋_GBK" w:cs="方正小标宋_GBK"/>
          <w:b w:val="0"/>
          <w:bCs w:val="0"/>
          <w:color w:val="000000" w:themeColor="text1"/>
          <w:sz w:val="32"/>
          <w:szCs w:val="32"/>
          <w14:textFill>
            <w14:solidFill>
              <w14:schemeClr w14:val="tx1"/>
            </w14:solidFill>
          </w14:textFill>
        </w:rPr>
        <w:t>外部</w:t>
      </w:r>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32"/>
          <w:szCs w:val="32"/>
          <w14:textFill>
            <w14:solidFill>
              <w14:schemeClr w14:val="tx1"/>
            </w14:solidFill>
          </w14:textFill>
        </w:rPr>
        <w:t>审计项目业务约定书</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甲方：</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住所：</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电话：</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法定代表人：</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乙方：</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住所：</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电</w:t>
      </w:r>
      <w:r>
        <w:rPr>
          <w:rFonts w:hint="eastAsia" w:ascii="方正仿宋_GBK" w:hAnsi="方正仿宋_GBK" w:eastAsia="方正仿宋_GBK" w:cs="方正仿宋_GBK"/>
          <w:color w:val="000000" w:themeColor="text1"/>
          <w:sz w:val="21"/>
          <w:szCs w:val="21"/>
          <w14:textFill>
            <w14:solidFill>
              <w14:schemeClr w14:val="tx1"/>
            </w14:solidFill>
          </w14:textFill>
        </w:rPr>
        <w:t>话：</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执行事务合伙人：</w:t>
      </w:r>
    </w:p>
    <w:p>
      <w:pPr>
        <w:pStyle w:val="18"/>
        <w:pageBreakBefore w:val="0"/>
        <w:widowControl w:val="0"/>
        <w:kinsoku/>
        <w:wordWrap/>
        <w:overflowPunct/>
        <w:topLinePunct w:val="0"/>
        <w:bidi w:val="0"/>
        <w:snapToGrid/>
        <w:spacing w:after="0"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本业务约定书按照自愿、公平原则明确双方的权利义务和责任等，经过双方</w:t>
      </w:r>
      <w:r>
        <w:rPr>
          <w:rFonts w:hint="eastAsia" w:ascii="方正仿宋_GBK" w:hAnsi="方正仿宋_GBK" w:eastAsia="方正仿宋_GBK" w:cs="方正仿宋_GBK"/>
          <w:color w:val="000000" w:themeColor="text1"/>
          <w:sz w:val="21"/>
          <w:szCs w:val="21"/>
          <w14:textFill>
            <w14:solidFill>
              <w14:schemeClr w14:val="tx1"/>
            </w14:solidFill>
          </w14:textFill>
        </w:rPr>
        <w:t>协商，达成以下约定：</w:t>
      </w:r>
    </w:p>
    <w:p>
      <w:pPr>
        <w:pStyle w:val="4"/>
        <w:pageBreakBefore w:val="0"/>
        <w:widowControl w:val="0"/>
        <w:kinsoku/>
        <w:wordWrap/>
        <w:overflowPunct/>
        <w:topLinePunct w:val="0"/>
        <w:bidi w:val="0"/>
        <w:snapToGrid/>
        <w:spacing w:before="0" w:after="0" w:line="560" w:lineRule="exact"/>
        <w:ind w:left="0" w:leftChars="0" w:right="0" w:firstLine="422"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一、业务事项</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spacing w:val="-8"/>
          <w:sz w:val="21"/>
          <w:szCs w:val="21"/>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乙方接受甲方委托，根据</w:t>
      </w: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中国企业会计准则、审计准则和国家金融监督管理总局、其他监管机构的有关规定</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，为广</w:t>
      </w:r>
      <w:r>
        <w:rPr>
          <w:rFonts w:hint="eastAsia" w:ascii="方正仿宋_GBK" w:hAnsi="方正仿宋_GBK" w:eastAsia="方正仿宋_GBK" w:cs="方正仿宋_GBK"/>
          <w:color w:val="000000" w:themeColor="text1"/>
          <w:sz w:val="21"/>
          <w:szCs w:val="21"/>
          <w14:textFill>
            <w14:solidFill>
              <w14:schemeClr w14:val="tx1"/>
            </w14:solidFill>
          </w14:textFill>
        </w:rPr>
        <w:t>西北部湾银行股份有限公司</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（以下简称“广西</w:t>
      </w:r>
      <w:r>
        <w:rPr>
          <w:rFonts w:hint="eastAsia" w:ascii="方正仿宋_GBK" w:hAnsi="方正仿宋_GBK" w:eastAsia="方正仿宋_GBK" w:cs="方正仿宋_GBK"/>
          <w:color w:val="000000" w:themeColor="text1"/>
          <w:sz w:val="21"/>
          <w:szCs w:val="21"/>
          <w14:textFill>
            <w14:solidFill>
              <w14:schemeClr w14:val="tx1"/>
            </w14:solidFill>
          </w14:textFill>
        </w:rPr>
        <w:t>北部湾银行</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”）提供</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2023年</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理财业务</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及</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理财产品</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审计服务，并向甲方</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分别</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提交审计报告</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t>具体被审计</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理财</w:t>
      </w:r>
      <w:r>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t>产品</w:t>
      </w:r>
      <w:r>
        <w:rPr>
          <w:rFonts w:hint="eastAsia" w:ascii="方正仿宋_GBK" w:hAnsi="方正仿宋_GBK" w:eastAsia="方正仿宋_GBK" w:cs="方正仿宋_GBK"/>
          <w:color w:val="000000" w:themeColor="text1"/>
          <w:spacing w:val="-8"/>
          <w:sz w:val="21"/>
          <w:szCs w:val="21"/>
          <w:highlight w:val="none"/>
          <w:lang w:eastAsia="zh-CN"/>
          <w14:textFill>
            <w14:solidFill>
              <w14:schemeClr w14:val="tx1"/>
            </w14:solidFill>
          </w14:textFill>
        </w:rPr>
        <w:t>以现场审计确认为准</w:t>
      </w:r>
      <w:r>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t>。</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kern w:val="0"/>
          <w:sz w:val="21"/>
          <w:szCs w:val="21"/>
          <w:lang w:val="zh-CN" w:bidi="zh-CN"/>
          <w14:textFill>
            <w14:solidFill>
              <w14:schemeClr w14:val="tx1"/>
            </w14:solidFill>
          </w14:textFill>
        </w:rPr>
      </w:pPr>
      <w:r>
        <w:rPr>
          <w:rFonts w:hint="eastAsia" w:ascii="方正仿宋_GBK" w:hAnsi="方正仿宋_GBK" w:eastAsia="方正仿宋_GBK" w:cs="方正仿宋_GBK"/>
          <w:color w:val="000000" w:themeColor="text1"/>
          <w:spacing w:val="-8"/>
          <w:kern w:val="0"/>
          <w:sz w:val="21"/>
          <w:szCs w:val="21"/>
          <w:lang w:val="zh-CN" w:bidi="zh-CN"/>
          <w14:textFill>
            <w14:solidFill>
              <w14:schemeClr w14:val="tx1"/>
            </w14:solidFill>
          </w14:textFill>
        </w:rPr>
        <w:t>审计期间：202</w:t>
      </w:r>
      <w:r>
        <w:rPr>
          <w:rFonts w:hint="eastAsia" w:ascii="方正仿宋_GBK" w:hAnsi="方正仿宋_GBK" w:eastAsia="方正仿宋_GBK" w:cs="方正仿宋_GBK"/>
          <w:color w:val="000000" w:themeColor="text1"/>
          <w:spacing w:val="-8"/>
          <w:kern w:val="0"/>
          <w:sz w:val="21"/>
          <w:szCs w:val="21"/>
          <w:lang w:val="en-US" w:bidi="zh-CN"/>
          <w14:textFill>
            <w14:solidFill>
              <w14:schemeClr w14:val="tx1"/>
            </w14:solidFill>
          </w14:textFill>
        </w:rPr>
        <w:t>3</w:t>
      </w:r>
      <w:r>
        <w:rPr>
          <w:rFonts w:hint="eastAsia" w:ascii="方正仿宋_GBK" w:hAnsi="方正仿宋_GBK" w:eastAsia="方正仿宋_GBK" w:cs="方正仿宋_GBK"/>
          <w:color w:val="000000" w:themeColor="text1"/>
          <w:spacing w:val="-8"/>
          <w:kern w:val="0"/>
          <w:sz w:val="21"/>
          <w:szCs w:val="21"/>
          <w:lang w:val="zh-CN" w:bidi="zh-CN"/>
          <w14:textFill>
            <w14:solidFill>
              <w14:schemeClr w14:val="tx1"/>
            </w14:solidFill>
          </w14:textFill>
        </w:rPr>
        <w:t>年1月1日-202</w:t>
      </w:r>
      <w:r>
        <w:rPr>
          <w:rFonts w:hint="eastAsia" w:ascii="方正仿宋_GBK" w:hAnsi="方正仿宋_GBK" w:eastAsia="方正仿宋_GBK" w:cs="方正仿宋_GBK"/>
          <w:color w:val="000000" w:themeColor="text1"/>
          <w:spacing w:val="-8"/>
          <w:kern w:val="0"/>
          <w:sz w:val="21"/>
          <w:szCs w:val="21"/>
          <w:lang w:val="en-US" w:bidi="zh-CN"/>
          <w14:textFill>
            <w14:solidFill>
              <w14:schemeClr w14:val="tx1"/>
            </w14:solidFill>
          </w14:textFill>
        </w:rPr>
        <w:t>3</w:t>
      </w:r>
      <w:r>
        <w:rPr>
          <w:rFonts w:hint="eastAsia" w:ascii="方正仿宋_GBK" w:hAnsi="方正仿宋_GBK" w:eastAsia="方正仿宋_GBK" w:cs="方正仿宋_GBK"/>
          <w:color w:val="000000" w:themeColor="text1"/>
          <w:spacing w:val="-8"/>
          <w:kern w:val="0"/>
          <w:sz w:val="21"/>
          <w:szCs w:val="21"/>
          <w:lang w:val="zh-CN" w:bidi="zh-CN"/>
          <w14:textFill>
            <w14:solidFill>
              <w14:schemeClr w14:val="tx1"/>
            </w14:solidFill>
          </w14:textFill>
        </w:rPr>
        <w:t>年12月31日。</w:t>
      </w:r>
    </w:p>
    <w:p>
      <w:pPr>
        <w:pStyle w:val="4"/>
        <w:pageBreakBefore w:val="0"/>
        <w:widowControl w:val="0"/>
        <w:kinsoku/>
        <w:wordWrap/>
        <w:overflowPunct/>
        <w:topLinePunct w:val="0"/>
        <w:bidi w:val="0"/>
        <w:snapToGrid/>
        <w:spacing w:before="0" w:after="0" w:line="560" w:lineRule="exact"/>
        <w:ind w:left="0" w:leftChars="0" w:right="0" w:firstLine="422"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二、业务范围及要求</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（一）项目需求</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乙方根据国家审计准则、银行业理财业务监管法规，对甲方</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2023年</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理财业务的制度建设、风险管理与内部控制、产品准入管理、人员管理、销售管理、投资管理、合作机构管理、产品托管、产品估值、会计核算和信息披露</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理财产品销售管理的有效性、合理性、合规性；理财资金投资运作管理的合规性、有效性和风险性；理财产品信息披露的合规性；理财业务财务报表及其核算的真实性、准确性和合规性；理财业务整改情况、净值化管理及评估等进行审计，</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分别</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出具</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2023年</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理财业务</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理财产品</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审计报告。</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审计内容包括：自营类理财业务、委托类理财业务</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私募类理财业务、公募理财产品</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和其他事项。具体审计内容如下：</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（1）自营类理财业务</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主要对自营类理财业务的综合管理、基础资产管理、销售管理、产品设计管理、资产组合型理财业务管理等内容进行测试。具体测试内容（包括但不限于）如下：</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①综合管理：主要测试理财业务的内部基础性工作管理情况。包括业务相关组织架构及管理模式、制度建设及操作流程设计、岗位设置及人员管理、信息管理、应急处理、会计核算管理、系统支持及参数管理、交易管理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②基础资产管理：基础资产包括标准资产与非标准化债权资产管理。</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a标准化资产是指在银行间市场及证券交易所市场交易的债权性资产，包括但不限于企业债、公司债、短期融资券、中期票据、超短期融资券、私募债券、资产抵押支持债券等。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b非标准化债权资产是指未在银行间市场及证券交易所市场交易的债权性资产，包括但不限于信贷资产、信托贷款、委托债权、承兑汇票、信用证、应收账款、各类受（收）益权、带回购条款的股权性融资等。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基础资产管理主要测试合作方和基础资产选择、融资客户和保证人审查、尽职调查、授信管理与审批、合同文本的审查及签署、标的资产保管、押品管理、资金账户及使用监控、投后管理、临近到期资金兑付管理和风险管理、档案管理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涉及的业务种类主要包括资本市场及债券投资类、股权及投资类、信贷类、其他类等。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③销售管理：主要测试理财产品销售管理情况。包括营销宣传、风险评估、信息披露、销售对象选择、资金来源等。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④产品设计管理：主要测试和评价理财产品的开发管理情况。包括产品开发申报、产品评审与审批、授权管理、产品资金成本与收益独立测算、风险评级、文本设计与产品说明、产品合法性审核等。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（2）委托类理财业务</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 xml:space="preserve">包括具体测试内容（包括但不限于）如下： </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①综合管理：主要测试委托类理财业务的内部基础性工作管理情况。包括对合作方的准入管理、资料收集评价分析、档案管理、突发事件应急预案等。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②业务管理与操作：主要测试合作方准入管理、产品准入管理、合同文本管理、存续管理、到期兑付资金管理、产品备案管理、授信管理与审批、代理推介及风险管控、客户选择及资金来源、风险评估及揭示、风险缓释措施、销售行为管理、销售渠道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（3）私募类理财业务</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包括私募投资类理财产品、代理私募股权投资业务和私募顾问业务（含私募股权投资基金财务顾问业务和私募财务顾问业务）。其中，私募投资类理财产品按自营类理财产品的具体测试内容进行审计测试，代理私募投资产品按代理类理财产品的具体测试内容进行审计测试，私募顾问业务具体测试内容（包括但不限于）如下：</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①综合管理：主要测试私募类理财业务的内部基础性工作管理情况。包括相关组织架构及管理模式、制度建设、操作流程设计、岗位设置及人员管理、信息管理、应急处理、检查与监督、会计核算管理、系统参数管理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②业务管理与操作：主要测试合作方准入管理、行业与项目选择、客户选择、尽职调查、方案设计变更审批、合同文本管理、授信管理与审批、资金账户及使用监控、营销管理、重大事项报告、投后管理、投资退出与清算管理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（4）公募理财</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产品</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①</w:t>
      </w:r>
      <w:r>
        <w:rPr>
          <w:rFonts w:hint="eastAsia" w:ascii="方正仿宋_GBK" w:hAnsi="方正仿宋_GBK" w:eastAsia="方正仿宋_GBK" w:cs="方正仿宋_GBK"/>
          <w:sz w:val="21"/>
          <w:szCs w:val="21"/>
        </w:rPr>
        <w:t>对甲方作为管理人</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按照财政部颁布的《企业会计准则》及《资产管理产品相关会计处理》（财会(2022)14号）等相关规定编制的理财产品</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2023年12月31日的资产负债表、2023年度的利润表、现金流量表、净资产变动表以及相关财务报表附注</w:t>
      </w:r>
      <w:r>
        <w:rPr>
          <w:rFonts w:hint="eastAsia" w:ascii="方正仿宋_GBK" w:hAnsi="方正仿宋_GBK" w:eastAsia="方正仿宋_GBK" w:cs="方正仿宋_GBK"/>
          <w:sz w:val="21"/>
          <w:szCs w:val="21"/>
        </w:rPr>
        <w:t>（以下统称财务报表）进行审计</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②公募理财产品销售管理的有效性、合理性、合规性；理财资金投资运作管理的合规性、有效性和风险性；理财产品信息披露的合规性；理财业务财务报表及其核算的真实性、准确性和合规性。</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③对财务报表的下列方面发表审计意见：a.财务报表是否在所有重大方面按照财政部颁布的《企业会计准则》及《资产管理产品相关会计处理》（财会(2022)14号）等的规定编制；b.财务报表是否在所有重大方面公允反映了理财产品2023年12月31日的财务状况，2023年度经营成果和现金流量。</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5</w:t>
      </w: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w:t>
      </w:r>
      <w:r>
        <w:rPr>
          <w:rFonts w:hint="eastAsia" w:ascii="方正仿宋_GBK" w:hAnsi="方正仿宋_GBK" w:eastAsia="方正仿宋_GBK" w:cs="方正仿宋_GBK"/>
          <w:color w:val="auto"/>
          <w:spacing w:val="-8"/>
          <w:sz w:val="21"/>
          <w:szCs w:val="21"/>
          <w:u w:val="none"/>
        </w:rPr>
        <w:t>招标需求书中的其他需求等。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（二）项目团队</w:t>
      </w:r>
    </w:p>
    <w:p>
      <w:pPr>
        <w:pageBreakBefore w:val="0"/>
        <w:widowControl w:val="0"/>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项目开始至项目结束期间，</w:t>
      </w:r>
      <w:r>
        <w:rPr>
          <w:rFonts w:hint="eastAsia" w:ascii="方正仿宋_GBK" w:hAnsi="方正仿宋_GBK" w:eastAsia="方正仿宋_GBK" w:cs="方正仿宋_GBK"/>
          <w:color w:val="auto"/>
          <w:sz w:val="21"/>
          <w:szCs w:val="21"/>
        </w:rPr>
        <w:t>乙方应按照投标文件安排相应人员参与现场审计，不得随意更换现场人员，如有更换，应事先征得甲方的同意，否则甲方有权不予批准。项目组管理成员如下：</w:t>
      </w:r>
    </w:p>
    <w:p>
      <w:pPr>
        <w:pageBreakBefore w:val="0"/>
        <w:widowControl w:val="0"/>
        <w:kinsoku/>
        <w:wordWrap/>
        <w:overflowPunct/>
        <w:topLinePunct w:val="0"/>
        <w:bidi w:val="0"/>
        <w:snapToGrid/>
        <w:spacing w:line="560" w:lineRule="exact"/>
        <w:ind w:left="0" w:leftChars="0" w:right="0" w:firstLine="420" w:firstLineChars="20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项目负责人：</w:t>
      </w:r>
    </w:p>
    <w:p>
      <w:pPr>
        <w:pageBreakBefore w:val="0"/>
        <w:widowControl w:val="0"/>
        <w:kinsoku/>
        <w:wordWrap/>
        <w:overflowPunct/>
        <w:topLinePunct w:val="0"/>
        <w:bidi w:val="0"/>
        <w:snapToGrid/>
        <w:spacing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auto"/>
          <w:sz w:val="21"/>
          <w:szCs w:val="21"/>
        </w:rPr>
        <w:t>项目经理：</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（三）业务要求</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依据外部法律法规、国家行业规范、行业监管要求或规范、内控制度、行业先进实践及被审计单位实际情况，针对审计内容指出甲方理财业务整改及存量资产处置工作中存在的薄弱环节和关键风险，在此基础上，对风险问题进行分级分类，并对发现的风险问题提出切实有效的整改建议，经各方确认后，按时、按质交付独立、高质量的审计报告。</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审计项目需接受甲方审计部全程质量控制，项目的最终交付物需得到甲方确认，确保质量。具体项目的审计过程和审计报告应符合《中国注册会计师执业准则》的要求</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乙方按照中国注册会计师执业准则规定的格式和类型出具审计报告</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乙方向甲方致送理财业务</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理财产品</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审计报告一式四份。</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以任何形式向甲方提供的任何服务成果，都只是基于甲方的利益和信息要求而向甲方提供的。除国家有关法律法规或监管机构的要求，以及审计报告中规定的限定用途（如有）外，未经乙方事先书面同意，任何服务成果均不得被整体或部分地复制、引用或披露（甲方内部使用的情况除外）。</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审计项目结束后，审计底稿归甲方所有。所有项目组成员须对审计工作触及的所有信息进行保密，严禁信息外泄。</w:t>
      </w:r>
    </w:p>
    <w:p>
      <w:pPr>
        <w:pStyle w:val="4"/>
        <w:pageBreakBefore w:val="0"/>
        <w:widowControl w:val="0"/>
        <w:kinsoku/>
        <w:wordWrap/>
        <w:overflowPunct/>
        <w:topLinePunct w:val="0"/>
        <w:bidi w:val="0"/>
        <w:snapToGrid/>
        <w:spacing w:before="0" w:after="0" w:line="560" w:lineRule="exact"/>
        <w:ind w:left="0" w:leftChars="0" w:right="0" w:firstLine="422"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三、甲方的责任与义务</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一）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地反映甲方作为管理人所管理的理财产品的财务状况、经营成果和资产流动。</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二）按照财政部颁布的《企业会计准则》及《资产管理产品相关会计处理》（财会(2022)14号）等的规定编制和公允反映财务报表是甲方理财产品管理人的责任，这种责任包括：（1）按照财政部颁布的《企业会计准则》及《资产管理产品相关会计处理》（财会(2022)14号）等的规定编制财务报表，并使其实现公允反映；（2）设计、执行和维护与财务报表编制相关的内部控制，以使财务报表不存在由于舞弊或错误而导致的重大错报。</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三）在编制财务报表时，甲方管理层负责评估理财产品的持续经营能力，必须时披露与持续经营相关的事项，并运用持续经营假设，除非理财产品以不同于产品说明书等文件初始载明的计划进行清算并导致资产无法按照公允价值处置。资产管理产品具有有限寿命本身不影响持续经营假设的成立。甲方治理层负责监督甲方作为管理人的财务报告过程。</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 xml:space="preserve">（四）及时为乙方的审计工作提供与审计有关的所有记录、文件和所需的其他的信息（及时提供审计所需的全部资料，如果在审计过程中需要补充资料亦应及时提供），并保证所提供资料的真实性和完整性。 </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五</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）确保乙方不受限制地接触其认为必要的甲方内部人员和其他相关人员。</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六</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确保乙方不受限制地接触任何与审计有关的记录文件和所需的其他信息。甲方需按照《中国注册会计师执业准则》的要求配合乙方获取外部证据，配合乙方获取相关的文件和函证，配合乙方与前任会计师沟通，必要时陪同乙方员工去工作现场检查等。</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七</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按照财政部颁布的《企业内部控制控制规范》、《企业内部控制应用指引》、《企业内部控制评价指引》的规定，建立健全和有效实施内部控制，评价内部控制的有效性，并对内部控制自我评价报告的真实性负责是甲方管理层责任。</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八</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）甲方管理层对其作出的与审计有关的声明予以书面确认。</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九</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）为乙方派出的有关工作人员提供必要的工作条件和协助，主要事项将由乙方于外勤工作开始前提供清单。</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十</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）按本约定书的约定及时足额支付审计费用，乙方人员在审计期间的交通、食宿和其他相关费用由乙方自行承担。</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（十</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一</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）乙方的审计不能减轻甲方及甲方管理层的管理人责任。如果甲方作为管理人提供虚假、不真实或不完整的会计资料导致乙方</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承担</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法律责任</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的</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，甲方须依照有关法律法规的规定赔偿乙方就此蒙受的损失。</w:t>
      </w:r>
    </w:p>
    <w:p>
      <w:pPr>
        <w:pStyle w:val="4"/>
        <w:pageBreakBefore w:val="0"/>
        <w:widowControl w:val="0"/>
        <w:kinsoku/>
        <w:wordWrap/>
        <w:overflowPunct/>
        <w:topLinePunct w:val="0"/>
        <w:bidi w:val="0"/>
        <w:snapToGrid/>
        <w:spacing w:before="0" w:after="0" w:line="560" w:lineRule="exact"/>
        <w:ind w:left="0" w:leftChars="0" w:right="0" w:firstLine="422"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四、乙方的责任和义务</w:t>
      </w:r>
    </w:p>
    <w:p>
      <w:pPr>
        <w:pStyle w:val="180"/>
        <w:pageBreakBefore w:val="0"/>
        <w:widowControl w:val="0"/>
        <w:tabs>
          <w:tab w:val="left" w:pos="842"/>
        </w:tabs>
        <w:kinsoku/>
        <w:wordWrap/>
        <w:overflowPunct/>
        <w:topLinePunct w:val="0"/>
        <w:bidi w:val="0"/>
        <w:snapToGrid/>
        <w:spacing w:line="560" w:lineRule="exact"/>
        <w:ind w:left="0" w:leftChars="0" w:right="0" w:firstLine="420"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（一）</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乙方的责任是执行上述专项审计服务业务范围内的工作。乙方接受甲方质量管理，按约定按时保质完成审计业务，报告质量须甲方认可。</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（二）</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乙方按照中国注册会计师审计准则（以下简称审计准则）的规定执行审计工作</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审计准则要求注册会计师遵守中国注册会计师职业道德守则。在执行审计的过程中，乙方需要运用职业判断，保持职业怀疑。</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真实反映审计结果，客观评价审计事项，做到证据充分可靠、定性准确，并提出处理建议及依据。</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（三）</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由于审计的其他固有限制，乙方注册会计师对于被审计的会计报表只承担“合理的保证责任”，并不担保经过审计的财务报表中没有任何错误。对于遵循职业准则但仍然未能揭示被审计事项中的错弊，应免除其民事赔偿责任。</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（四）</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乙方了解与审计相关的内部控制，以设计恰当的审计程序，但目的并非对内部控制的有效性发表意见。</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（五）</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乙方评价甲方作为管理人选用会计政策的恰当性和作出会计估计及相关披露的合理性。</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（六）</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理财产品的会计确认、计量和报告应当以持续经营为前提，除非理财产品以不同于产品说明书等文件初始载明的计划进行清算并导致资产无法按照公允价值处置。理财产品具有有限寿命本身不影响持续经营假设的成立。乙方的结论基于截至审计报告日可获得的信息。然而，未来的事项或情况可能导致理财产品不能持续经营。</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（七）</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乙方评价财务报表的总体列报、结构和内容，并评价财务报表是否公允反映相关交易和事项。</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（八）</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在审计过程中，乙方若发现甲方作为管理人的内部控制存在乙方认为的重要缺陷，</w:t>
      </w:r>
      <w:r>
        <w:rPr>
          <w:rFonts w:hint="eastAsia" w:ascii="方正仿宋_GBK" w:hAnsi="方正仿宋_GBK" w:eastAsia="方正仿宋_GBK" w:cs="方正仿宋_GBK"/>
          <w:sz w:val="21"/>
          <w:szCs w:val="21"/>
          <w:lang w:val="en-US"/>
        </w:rPr>
        <w:t>应以书面形式向甲方管理层通报</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可能向甲方提交管理建议书</w:t>
      </w:r>
      <w:r>
        <w:rPr>
          <w:rFonts w:hint="eastAsia" w:ascii="方正仿宋_GBK" w:hAnsi="方正仿宋_GBK" w:eastAsia="方正仿宋_GBK" w:cs="方正仿宋_GBK"/>
          <w:sz w:val="21"/>
          <w:szCs w:val="21"/>
          <w:lang w:val="en-US"/>
        </w:rPr>
        <w:t>。未经双方书面许可，任何一方不得向第三方提供对方出具的沟通文件。</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但乙方在管理建议书中提出的各种事项，并不代表已全面说明所有可能存在的缺陷或已提出所有可行的改善建议。甲方在实施乙方提出的改善建议前应全面评估其影响。未经乙方书面许可，甲方不得向任何第三方提供乙方出具的管理建议书。</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（九）</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由于测试的性质和审计的其他固有限制，以及内部控制的固有局限性，不可避免地存在着某些重大错报在审计后可能仍然未被乙方发现的风险。此外，由于情况的变化可能导致内部控制变得不恰当或对内部控制政策和程序遵循的程度降低，根据内部控制审计结果推测未来内部控制的有效性具有一定的风险。</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（十）按照约定的时间出具审计报告；如果在审计过程中因为甲方的原因以及出现不可预见的情况，影响审计工作如期完成，乙方可与甲方进行书面沟通，申请延期出具审计报告。</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（十</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一</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在服务结束时，乙方提供最终书面形式的审计报告，若甲方需要依赖乙方在服务结束时提供的口头意见或作出的口头汇报，甲方应告知乙方，乙方应提供相关意见的书面确认文件。除非乙方已向甲方提供上述书面确认文件，否则甲方无权依赖乙方任何口头意见或口头汇报。</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（十二）</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乙方应根据上述专项审计服务执行，按照约定时间完成审计工作，于2024年</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月</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日前出具正式审计报告。</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（十三）</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乙方执行专项审计服务不能减轻甲方及甲方管理层的责任。</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（十</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四</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）乙方按照双方约定时间和要求提交报告及相应的全套规范的审计工作底稿。</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十五</w:t>
      </w: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乙方及其派出项目组成员保证与本次审计对象不存在任何利益相关性，不存在不适于进行本次审计的任何情形。</w:t>
      </w:r>
    </w:p>
    <w:p>
      <w:pPr>
        <w:pStyle w:val="180"/>
        <w:pageBreakBefore w:val="0"/>
        <w:widowControl w:val="0"/>
        <w:tabs>
          <w:tab w:val="left" w:pos="842"/>
        </w:tabs>
        <w:kinsoku/>
        <w:wordWrap/>
        <w:overflowPunct/>
        <w:topLinePunct w:val="0"/>
        <w:bidi w:val="0"/>
        <w:snapToGrid/>
        <w:spacing w:line="560" w:lineRule="exact"/>
        <w:ind w:left="0" w:leftChars="0" w:right="0" w:firstLine="388" w:firstLineChars="20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（十</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六</w:t>
      </w: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）乙方不得将本协议书的任何权利和义务转让给他人。</w:t>
      </w:r>
    </w:p>
    <w:p>
      <w:pPr>
        <w:pStyle w:val="180"/>
        <w:pageBreakBefore w:val="0"/>
        <w:widowControl w:val="0"/>
        <w:tabs>
          <w:tab w:val="left" w:pos="842"/>
        </w:tabs>
        <w:kinsoku/>
        <w:wordWrap/>
        <w:overflowPunct/>
        <w:topLinePunct w:val="0"/>
        <w:bidi w:val="0"/>
        <w:snapToGrid/>
        <w:spacing w:line="560" w:lineRule="exact"/>
        <w:ind w:left="0" w:leftChars="0" w:right="0" w:firstLine="420" w:firstLineChars="200"/>
        <w:jc w:val="both"/>
        <w:textAlignment w:val="auto"/>
        <w:rPr>
          <w:rFonts w:hint="eastAsia" w:ascii="方正仿宋_GBK" w:hAnsi="方正仿宋_GBK" w:eastAsia="方正仿宋_GBK" w:cs="方正仿宋_GBK"/>
          <w:sz w:val="21"/>
          <w:szCs w:val="21"/>
          <w:lang w:val="en-US"/>
        </w:rPr>
      </w:pPr>
      <w:r>
        <w:rPr>
          <w:rFonts w:hint="eastAsia" w:ascii="方正仿宋_GBK" w:hAnsi="方正仿宋_GBK" w:eastAsia="方正仿宋_GBK" w:cs="方正仿宋_GBK"/>
          <w:sz w:val="21"/>
          <w:szCs w:val="21"/>
          <w:lang w:val="en-US"/>
        </w:rPr>
        <w:t>（十</w:t>
      </w:r>
      <w:r>
        <w:rPr>
          <w:rFonts w:hint="eastAsia" w:ascii="方正仿宋_GBK" w:hAnsi="方正仿宋_GBK" w:eastAsia="方正仿宋_GBK" w:cs="方正仿宋_GBK"/>
          <w:sz w:val="21"/>
          <w:szCs w:val="21"/>
          <w:lang w:val="en-US" w:eastAsia="zh-CN"/>
        </w:rPr>
        <w:t>七</w:t>
      </w:r>
      <w:r>
        <w:rPr>
          <w:rFonts w:hint="eastAsia" w:ascii="方正仿宋_GBK" w:hAnsi="方正仿宋_GBK" w:eastAsia="方正仿宋_GBK" w:cs="方正仿宋_GBK"/>
          <w:sz w:val="21"/>
          <w:szCs w:val="21"/>
          <w:lang w:val="en-US"/>
        </w:rPr>
        <w:t>）若甲方在本协议有效期内上市，需配合甲方向中国人民银行、中国银保监会、中国证监会等机构出具就本项目相关的相关资料，同时乙方在能力范围内就本项目相关的内容给予辅导。</w:t>
      </w:r>
    </w:p>
    <w:p>
      <w:pPr>
        <w:pStyle w:val="180"/>
        <w:pageBreakBefore w:val="0"/>
        <w:widowControl w:val="0"/>
        <w:tabs>
          <w:tab w:val="left" w:pos="842"/>
        </w:tabs>
        <w:kinsoku/>
        <w:wordWrap/>
        <w:overflowPunct/>
        <w:topLinePunct w:val="0"/>
        <w:bidi w:val="0"/>
        <w:snapToGrid/>
        <w:spacing w:line="560" w:lineRule="exact"/>
        <w:ind w:left="0" w:leftChars="0" w:right="0" w:firstLine="420" w:firstLineChars="200"/>
        <w:jc w:val="both"/>
        <w:textAlignment w:val="auto"/>
        <w:rPr>
          <w:rFonts w:hint="eastAsia" w:ascii="方正仿宋_GBK" w:hAnsi="方正仿宋_GBK" w:eastAsia="方正仿宋_GBK" w:cs="方正仿宋_GBK"/>
          <w:sz w:val="21"/>
          <w:szCs w:val="21"/>
          <w:lang w:val="en-US"/>
        </w:rPr>
      </w:pPr>
      <w:r>
        <w:rPr>
          <w:rFonts w:hint="eastAsia" w:ascii="方正仿宋_GBK" w:hAnsi="方正仿宋_GBK" w:eastAsia="方正仿宋_GBK" w:cs="方正仿宋_GBK"/>
          <w:sz w:val="21"/>
          <w:szCs w:val="21"/>
          <w:lang w:val="en-US"/>
        </w:rPr>
        <w:t>（十</w:t>
      </w:r>
      <w:r>
        <w:rPr>
          <w:rFonts w:hint="eastAsia" w:ascii="方正仿宋_GBK" w:hAnsi="方正仿宋_GBK" w:eastAsia="方正仿宋_GBK" w:cs="方正仿宋_GBK"/>
          <w:sz w:val="21"/>
          <w:szCs w:val="21"/>
          <w:lang w:val="en-US" w:eastAsia="zh-CN"/>
        </w:rPr>
        <w:t>八</w:t>
      </w:r>
      <w:r>
        <w:rPr>
          <w:rFonts w:hint="eastAsia" w:ascii="方正仿宋_GBK" w:hAnsi="方正仿宋_GBK" w:eastAsia="方正仿宋_GBK" w:cs="方正仿宋_GBK"/>
          <w:sz w:val="21"/>
          <w:szCs w:val="21"/>
          <w:lang w:val="en-US"/>
        </w:rPr>
        <w:t>）乙方有义务于202</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lang w:val="en-US"/>
        </w:rPr>
        <w:t>年上半年期间，为甲方举办3次有关专业知识的培训，培训时间和培训内容由甲方提出需求，经双方协商确定。乙方履行上述义务不再另行收费。</w:t>
      </w:r>
    </w:p>
    <w:p>
      <w:pPr>
        <w:pStyle w:val="4"/>
        <w:pageBreakBefore w:val="0"/>
        <w:widowControl w:val="0"/>
        <w:kinsoku/>
        <w:wordWrap/>
        <w:overflowPunct/>
        <w:topLinePunct w:val="0"/>
        <w:bidi w:val="0"/>
        <w:snapToGrid/>
        <w:spacing w:before="0" w:after="0" w:line="560" w:lineRule="exact"/>
        <w:ind w:left="0" w:leftChars="0" w:right="0" w:firstLine="422"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五、业务收费及支付方式</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(一)本次专项审计服务的收费由双方协商确定：</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本次专项审计服务收费合计为(大写)人民币</w:t>
      </w:r>
      <w:r>
        <w:rPr>
          <w:rFonts w:hint="eastAsia" w:ascii="方正仿宋_GBK" w:hAnsi="方正仿宋_GBK" w:eastAsia="方正仿宋_GBK" w:cs="方正仿宋_GBK"/>
          <w:color w:val="000000" w:themeColor="text1"/>
          <w:spacing w:val="-8"/>
          <w:sz w:val="21"/>
          <w:szCs w:val="21"/>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8"/>
          <w:sz w:val="21"/>
          <w:szCs w:val="21"/>
          <w:u w:val="single"/>
          <w14:textFill>
            <w14:solidFill>
              <w14:schemeClr w14:val="tx1"/>
            </w14:solidFill>
          </w14:textFill>
        </w:rPr>
        <w:t>整</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)。上述收费已包括专业服务费、代垫费用和增值税金及附加，其中增值税税率为</w:t>
      </w:r>
      <w:r>
        <w:rPr>
          <w:rFonts w:hint="eastAsia" w:ascii="方正仿宋_GBK" w:hAnsi="方正仿宋_GBK" w:eastAsia="方正仿宋_GBK" w:cs="方正仿宋_GBK"/>
          <w:color w:val="000000" w:themeColor="text1"/>
          <w:spacing w:val="-8"/>
          <w:sz w:val="21"/>
          <w:szCs w:val="21"/>
          <w:lang w:val="en-US"/>
          <w14:textFill>
            <w14:solidFill>
              <w14:schemeClr w14:val="tx1"/>
            </w14:solidFill>
          </w14:textFill>
        </w:rPr>
        <w:t>6%</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。本次服务有关的其他费用（包括交通费、食宿费</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通信、印刷</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等）由乙方承担。乙方将开具增值税专用发票以收取费用，</w:t>
      </w:r>
      <w:r>
        <w:rPr>
          <w:rFonts w:hint="eastAsia" w:ascii="方正仿宋_GBK" w:hAnsi="方正仿宋_GBK" w:eastAsia="方正仿宋_GBK" w:cs="方正仿宋_GBK"/>
          <w:color w:val="auto"/>
          <w:spacing w:val="-8"/>
          <w:sz w:val="21"/>
          <w:szCs w:val="21"/>
        </w:rPr>
        <w:t>且</w:t>
      </w:r>
      <w:r>
        <w:rPr>
          <w:rFonts w:hint="eastAsia" w:ascii="方正仿宋_GBK" w:hAnsi="方正仿宋_GBK" w:eastAsia="方正仿宋_GBK" w:cs="方正仿宋_GBK"/>
          <w:color w:val="auto"/>
          <w:sz w:val="21"/>
          <w:szCs w:val="21"/>
        </w:rPr>
        <w:t>乙方开票必须与收款方、合同签订主体一致，并与合同签订主体营业执照上的信息一致。</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若乙方提供账单和增值税专用发票不符合甲方要求的，甲方有权拒绝付款，并要求乙方按要求重新提供账单和增值税专用发票。付款期限从甲方收到合格的账单和增值税专用发票之日起算。</w:t>
      </w:r>
    </w:p>
    <w:p>
      <w:pPr>
        <w:pStyle w:val="18"/>
        <w:pageBreakBefore w:val="0"/>
        <w:widowControl w:val="0"/>
        <w:kinsoku/>
        <w:wordWrap/>
        <w:overflowPunct/>
        <w:topLinePunct w:val="0"/>
        <w:bidi w:val="0"/>
        <w:snapToGrid/>
        <w:spacing w:after="0" w:line="560" w:lineRule="exact"/>
        <w:ind w:left="0" w:leftChars="0" w:right="0" w:firstLine="388" w:firstLineChars="200"/>
        <w:jc w:val="both"/>
        <w:textAlignment w:val="auto"/>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(二)甲方应按本合同约定的付款时间支付服务费用。本次专项审计服务费。收取的方式如下：</w:t>
      </w:r>
    </w:p>
    <w:tbl>
      <w:tblPr>
        <w:tblStyle w:val="43"/>
        <w:tblW w:w="8406" w:type="dxa"/>
        <w:tblInd w:w="600" w:type="dxa"/>
        <w:tblLayout w:type="fixed"/>
        <w:tblCellMar>
          <w:top w:w="0" w:type="dxa"/>
          <w:left w:w="108" w:type="dxa"/>
          <w:bottom w:w="0" w:type="dxa"/>
          <w:right w:w="108" w:type="dxa"/>
        </w:tblCellMar>
      </w:tblPr>
      <w:tblGrid>
        <w:gridCol w:w="2627"/>
        <w:gridCol w:w="3402"/>
        <w:gridCol w:w="2377"/>
      </w:tblGrid>
      <w:tr>
        <w:tblPrEx>
          <w:tblCellMar>
            <w:top w:w="0" w:type="dxa"/>
            <w:left w:w="108" w:type="dxa"/>
            <w:bottom w:w="0" w:type="dxa"/>
            <w:right w:w="108" w:type="dxa"/>
          </w:tblCellMar>
        </w:tblPrEx>
        <w:trPr>
          <w:trHeight w:val="453" w:hRule="atLeast"/>
        </w:trPr>
        <w:tc>
          <w:tcPr>
            <w:tcW w:w="2627" w:type="dxa"/>
            <w:shd w:val="clear" w:color="auto" w:fill="auto"/>
          </w:tcPr>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收费及比例</w:t>
            </w:r>
          </w:p>
        </w:tc>
        <w:tc>
          <w:tcPr>
            <w:tcW w:w="3402" w:type="dxa"/>
            <w:shd w:val="clear" w:color="auto" w:fill="auto"/>
          </w:tcPr>
          <w:p>
            <w:pPr>
              <w:pStyle w:val="18"/>
              <w:tabs>
                <w:tab w:val="left" w:pos="7803"/>
              </w:tabs>
              <w:spacing w:line="295" w:lineRule="exact"/>
              <w:ind w:left="0" w:firstLine="630" w:firstLineChars="300"/>
              <w:jc w:val="both"/>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时间</w:t>
            </w:r>
          </w:p>
        </w:tc>
        <w:tc>
          <w:tcPr>
            <w:tcW w:w="2377" w:type="dxa"/>
            <w:shd w:val="clear" w:color="auto" w:fill="auto"/>
          </w:tcPr>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支付金额</w:t>
            </w:r>
          </w:p>
        </w:tc>
      </w:tr>
      <w:tr>
        <w:tblPrEx>
          <w:tblCellMar>
            <w:top w:w="0" w:type="dxa"/>
            <w:left w:w="108" w:type="dxa"/>
            <w:bottom w:w="0" w:type="dxa"/>
            <w:right w:w="108" w:type="dxa"/>
          </w:tblCellMar>
        </w:tblPrEx>
        <w:trPr>
          <w:trHeight w:val="403" w:hRule="atLeast"/>
        </w:trPr>
        <w:tc>
          <w:tcPr>
            <w:tcW w:w="2627" w:type="dxa"/>
            <w:shd w:val="clear" w:color="auto" w:fill="auto"/>
          </w:tcPr>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position w:val="1"/>
                <w:sz w:val="21"/>
                <w:szCs w:val="21"/>
                <w14:textFill>
                  <w14:solidFill>
                    <w14:schemeClr w14:val="tx1"/>
                  </w14:solidFill>
                </w14:textFill>
              </w:rPr>
              <w:t>第一次收费</w:t>
            </w:r>
          </w:p>
        </w:tc>
        <w:tc>
          <w:tcPr>
            <w:tcW w:w="3402" w:type="dxa"/>
            <w:shd w:val="clear" w:color="auto" w:fill="auto"/>
          </w:tcPr>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position w:val="1"/>
                <w:sz w:val="21"/>
                <w:szCs w:val="21"/>
                <w14:textFill>
                  <w14:solidFill>
                    <w14:schemeClr w14:val="tx1"/>
                  </w14:solidFill>
                </w14:textFill>
              </w:rPr>
              <w:t>进场后，且乙方提供等额、有效、合法增值税专用发票10个工作日内</w:t>
            </w:r>
          </w:p>
        </w:tc>
        <w:tc>
          <w:tcPr>
            <w:tcW w:w="2377" w:type="dxa"/>
            <w:shd w:val="clear" w:color="auto" w:fill="auto"/>
          </w:tcPr>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 xml:space="preserve"> </w:t>
            </w:r>
          </w:p>
        </w:tc>
      </w:tr>
      <w:tr>
        <w:tblPrEx>
          <w:tblCellMar>
            <w:top w:w="0" w:type="dxa"/>
            <w:left w:w="108" w:type="dxa"/>
            <w:bottom w:w="0" w:type="dxa"/>
            <w:right w:w="108" w:type="dxa"/>
          </w:tblCellMar>
        </w:tblPrEx>
        <w:trPr>
          <w:trHeight w:val="1352" w:hRule="atLeast"/>
        </w:trPr>
        <w:tc>
          <w:tcPr>
            <w:tcW w:w="2627" w:type="dxa"/>
            <w:shd w:val="clear" w:color="auto" w:fill="auto"/>
          </w:tcPr>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第二次收费</w:t>
            </w: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合计</w:t>
            </w:r>
          </w:p>
        </w:tc>
        <w:tc>
          <w:tcPr>
            <w:tcW w:w="3402" w:type="dxa"/>
            <w:shd w:val="clear" w:color="auto" w:fill="auto"/>
          </w:tcPr>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项目完成且乙方出具盖章版的审计报告，审计报告经甲方确认后，乙方提供等额、有效、合法增值税专用发票10个工作日内。</w:t>
            </w:r>
          </w:p>
        </w:tc>
        <w:tc>
          <w:tcPr>
            <w:tcW w:w="2377" w:type="dxa"/>
            <w:shd w:val="clear" w:color="auto" w:fill="auto"/>
          </w:tcPr>
          <w:p>
            <w:pPr>
              <w:rPr>
                <w:rFonts w:hint="eastAsia" w:ascii="方正仿宋_GBK" w:hAnsi="方正仿宋_GBK" w:eastAsia="方正仿宋_GBK" w:cs="方正仿宋_GBK"/>
                <w:sz w:val="21"/>
                <w:szCs w:val="21"/>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 xml:space="preserve"> </w:t>
            </w: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tabs>
                <w:tab w:val="left" w:pos="7803"/>
              </w:tabs>
              <w:spacing w:line="295" w:lineRule="exact"/>
              <w:ind w:left="0"/>
              <w:rPr>
                <w:rFonts w:hint="eastAsia" w:ascii="方正仿宋_GBK" w:hAnsi="方正仿宋_GBK" w:eastAsia="方正仿宋_GBK" w:cs="方正仿宋_GBK"/>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 xml:space="preserve"> </w:t>
            </w:r>
          </w:p>
        </w:tc>
      </w:tr>
    </w:tbl>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(三)如果非乙方原因、致使乙方从事本约定书所涉及的</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审计</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服务事项及业务范围有明显的增加或减少时，甲乙双方应通过协商，相应调整本约定书第五条第(一)项下所述的业务费用。</w:t>
      </w:r>
    </w:p>
    <w:p>
      <w:pPr>
        <w:pStyle w:val="181"/>
        <w:numPr>
          <w:ilvl w:val="0"/>
          <w:numId w:val="0"/>
        </w:numPr>
        <w:tabs>
          <w:tab w:val="clear" w:pos="720"/>
        </w:tabs>
        <w:spacing w:after="0" w:line="620" w:lineRule="exact"/>
        <w:ind w:left="0" w:firstLine="582" w:firstLineChars="3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 xml:space="preserve">(四) </w:t>
      </w:r>
      <w:r>
        <w:rPr>
          <w:rFonts w:hint="eastAsia" w:ascii="方正仿宋_GBK" w:hAnsi="方正仿宋_GBK" w:eastAsia="方正仿宋_GBK" w:cs="方正仿宋_GBK"/>
          <w:sz w:val="21"/>
          <w:szCs w:val="21"/>
          <w:lang w:eastAsia="zh-CN"/>
        </w:rPr>
        <w:t>如果由于无法预见及控制的原因，致使乙方人员抵达甲方的工作现场后，本协议书所涉及的审计服务终止，甲、乙方根据审计工作的进度协商确定甲方预付的审计费用退还事宜；如果上述情况发生于乙方人员完成现场审计工作，并离开甲方的工作现场之后，甲、乙方应另行商谈相应的费用。</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t>（五)本次服务费用请汇入以下账户：</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t>收款单位：</w:t>
      </w:r>
      <w:r>
        <w:rPr>
          <w:rFonts w:hint="eastAsia" w:ascii="方正仿宋_GBK" w:hAnsi="方正仿宋_GBK" w:eastAsia="方正仿宋_GBK" w:cs="方正仿宋_GBK"/>
          <w:color w:val="000000" w:themeColor="text1"/>
          <w:spacing w:val="-8"/>
          <w:sz w:val="21"/>
          <w:szCs w:val="21"/>
          <w:highlight w:val="none"/>
          <w:lang w:val="en-US" w:eastAsia="zh-CN"/>
          <w14:textFill>
            <w14:solidFill>
              <w14:schemeClr w14:val="tx1"/>
            </w14:solidFill>
          </w14:textFill>
        </w:rPr>
        <w:t xml:space="preserve"> </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t>开户银行：</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highlight w:val="none"/>
          <w14:textFill>
            <w14:solidFill>
              <w14:schemeClr w14:val="tx1"/>
            </w14:solidFill>
          </w14:textFill>
        </w:rPr>
        <w:t>银行账号：</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收款账户信息发生变更，乙方需在甲方付款前拾（10）日书面通知甲方。任何一方因以上信息变更未按本约定书通知或确认信息而使甲乙双方遭受的损失，由违约方向守约方承担损失责任。</w:t>
      </w:r>
    </w:p>
    <w:p>
      <w:pPr>
        <w:pStyle w:val="4"/>
        <w:spacing w:before="162" w:line="364" w:lineRule="auto"/>
        <w:ind w:left="120" w:right="358" w:firstLine="480"/>
        <w:jc w:val="both"/>
        <w:rPr>
          <w:rFonts w:hint="eastAsia" w:ascii="方正仿宋_GBK" w:hAnsi="方正仿宋_GBK" w:eastAsia="方正仿宋_GBK" w:cs="方正仿宋_GBK"/>
          <w:color w:val="000000" w:themeColor="text1"/>
          <w:spacing w:val="-3"/>
          <w:sz w:val="21"/>
          <w:szCs w:val="21"/>
          <w14:textFill>
            <w14:solidFill>
              <w14:schemeClr w14:val="tx1"/>
            </w14:solidFill>
          </w14:textFill>
        </w:rPr>
      </w:pPr>
      <w:r>
        <w:rPr>
          <w:rFonts w:hint="eastAsia" w:ascii="方正仿宋_GBK" w:hAnsi="方正仿宋_GBK" w:eastAsia="方正仿宋_GBK" w:cs="方正仿宋_GBK"/>
          <w:color w:val="000000" w:themeColor="text1"/>
          <w:spacing w:val="-3"/>
          <w:sz w:val="21"/>
          <w:szCs w:val="21"/>
          <w14:textFill>
            <w14:solidFill>
              <w14:schemeClr w14:val="tx1"/>
            </w14:solidFill>
          </w14:textFill>
        </w:rPr>
        <w:t>六、审计报告和审计报告的使用</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 xml:space="preserve">（一）乙方按照中国注册会计师执业准则规定的格式和类型出具审计报告。 </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（二）乙方向甲方致送理财业务</w:t>
      </w:r>
      <w:r>
        <w:rPr>
          <w:rFonts w:hint="eastAsia" w:ascii="方正仿宋_GBK" w:hAnsi="方正仿宋_GBK" w:eastAsia="方正仿宋_GBK" w:cs="方正仿宋_GBK"/>
          <w:color w:val="000000" w:themeColor="text1"/>
          <w:spacing w:val="-8"/>
          <w:sz w:val="21"/>
          <w:szCs w:val="21"/>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21"/>
          <w:szCs w:val="21"/>
          <w:lang w:val="en-US" w:eastAsia="zh-CN"/>
          <w14:textFill>
            <w14:solidFill>
              <w14:schemeClr w14:val="tx1"/>
            </w14:solidFill>
          </w14:textFill>
        </w:rPr>
        <w:t>理财产品</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审计报告一式四份。</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三）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pPr>
        <w:pStyle w:val="18"/>
        <w:spacing w:before="162" w:line="364" w:lineRule="auto"/>
        <w:ind w:left="120" w:right="358" w:firstLine="480"/>
        <w:jc w:val="both"/>
        <w:rPr>
          <w:rFonts w:hint="eastAsia" w:ascii="方正仿宋_GBK" w:hAnsi="方正仿宋_GBK" w:eastAsia="方正仿宋_GBK" w:cs="方正仿宋_GBK"/>
          <w:color w:val="000000" w:themeColor="text1"/>
          <w:spacing w:val="-8"/>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四）乙方以任何形式向甲方提供的任何服务成果，都只是基于甲方的利益和信息要求而向甲方提供的。除国家有关法律法规或监管机构的要求，以及审计报告中规定的限定用途（如有）外，未经乙方事先书面同意，任何服务成果均不得被整体或部分地复制、引用或披露（甲方内部使用的情况除外）。</w:t>
      </w:r>
    </w:p>
    <w:p>
      <w:pPr>
        <w:pStyle w:val="4"/>
        <w:keepNext/>
        <w:keepLines/>
        <w:pageBreakBefore w:val="0"/>
        <w:widowControl w:val="0"/>
        <w:kinsoku/>
        <w:wordWrap/>
        <w:overflowPunct/>
        <w:topLinePunct w:val="0"/>
        <w:autoSpaceDE/>
        <w:autoSpaceDN/>
        <w:bidi w:val="0"/>
        <w:adjustRightInd/>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七</w:t>
      </w:r>
      <w:r>
        <w:rPr>
          <w:rFonts w:hint="eastAsia" w:ascii="方正仿宋_GBK" w:hAnsi="方正仿宋_GBK" w:eastAsia="方正仿宋_GBK" w:cs="方正仿宋_GBK"/>
          <w:color w:val="000000" w:themeColor="text1"/>
          <w:sz w:val="21"/>
          <w:szCs w:val="21"/>
          <w14:textFill>
            <w14:solidFill>
              <w14:schemeClr w14:val="tx1"/>
            </w14:solidFill>
          </w14:textFill>
        </w:rPr>
        <w:t>、保密条款</w:t>
      </w:r>
    </w:p>
    <w:p>
      <w:pPr>
        <w:pStyle w:val="18"/>
        <w:pageBreakBefore w:val="0"/>
        <w:widowControl w:val="0"/>
        <w:kinsoku/>
        <w:wordWrap/>
        <w:overflowPunct/>
        <w:topLinePunct w:val="0"/>
        <w:bidi w:val="0"/>
        <w:snapToGrid/>
        <w:spacing w:after="0" w:line="560" w:lineRule="exact"/>
        <w:ind w:left="0" w:right="0" w:firstLine="388"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(一)</w:t>
      </w: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 </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本款所述保密信息，指甲方所有未主动公开的信息及未经合法渠道和方式被公开的甲方信息，无论该信息是否标有保密标志。在为甲方提供服务过程中，乙方可能会获取与甲方业务或其他事宜有关</w:t>
      </w:r>
      <w:r>
        <w:rPr>
          <w:rFonts w:hint="eastAsia" w:ascii="方正仿宋_GBK" w:hAnsi="方正仿宋_GBK" w:eastAsia="方正仿宋_GBK" w:cs="方正仿宋_GBK"/>
          <w:color w:val="000000" w:themeColor="text1"/>
          <w:spacing w:val="-10"/>
          <w:sz w:val="21"/>
          <w:szCs w:val="21"/>
          <w14:textFill>
            <w14:solidFill>
              <w14:schemeClr w14:val="tx1"/>
            </w14:solidFill>
          </w14:textFill>
        </w:rPr>
        <w:t>的保密信息。乙方将遵守中华人民共和国相关法律法规的要求，对执行业务过程</w:t>
      </w:r>
      <w:r>
        <w:rPr>
          <w:rFonts w:hint="eastAsia" w:ascii="方正仿宋_GBK" w:hAnsi="方正仿宋_GBK" w:eastAsia="方正仿宋_GBK" w:cs="方正仿宋_GBK"/>
          <w:color w:val="000000" w:themeColor="text1"/>
          <w:sz w:val="21"/>
          <w:szCs w:val="21"/>
          <w14:textFill>
            <w14:solidFill>
              <w14:schemeClr w14:val="tx1"/>
            </w14:solidFill>
          </w14:textFill>
        </w:rPr>
        <w:t>中知悉的甲方的保密信息予以保密，除下列情况外：</w:t>
      </w:r>
    </w:p>
    <w:p>
      <w:pPr>
        <w:pStyle w:val="180"/>
        <w:pageBreakBefore w:val="0"/>
        <w:widowControl w:val="0"/>
        <w:numPr>
          <w:ilvl w:val="0"/>
          <w:numId w:val="4"/>
        </w:numPr>
        <w:tabs>
          <w:tab w:val="left" w:pos="842"/>
        </w:tabs>
        <w:kinsoku/>
        <w:wordWrap/>
        <w:overflowPunct/>
        <w:topLinePunct w:val="0"/>
        <w:bidi w:val="0"/>
        <w:snapToGrid/>
        <w:spacing w:line="560" w:lineRule="exact"/>
        <w:ind w:left="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法律法规允许，并取得甲方的授权；</w:t>
      </w:r>
    </w:p>
    <w:p>
      <w:pPr>
        <w:pStyle w:val="180"/>
        <w:pageBreakBefore w:val="0"/>
        <w:widowControl w:val="0"/>
        <w:numPr>
          <w:ilvl w:val="0"/>
          <w:numId w:val="4"/>
        </w:numPr>
        <w:tabs>
          <w:tab w:val="left" w:pos="842"/>
        </w:tabs>
        <w:kinsoku/>
        <w:wordWrap/>
        <w:overflowPunct/>
        <w:topLinePunct w:val="0"/>
        <w:bidi w:val="0"/>
        <w:snapToGrid/>
        <w:spacing w:line="560" w:lineRule="exact"/>
        <w:ind w:left="0" w:right="0" w:firstLine="388"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根据法律法规的规定，为法律诉讼准备文件或提供证据，以及向监管机构</w:t>
      </w:r>
      <w:r>
        <w:rPr>
          <w:rFonts w:hint="eastAsia" w:ascii="方正仿宋_GBK" w:hAnsi="方正仿宋_GBK" w:eastAsia="方正仿宋_GBK" w:cs="方正仿宋_GBK"/>
          <w:color w:val="000000" w:themeColor="text1"/>
          <w:sz w:val="21"/>
          <w:szCs w:val="21"/>
          <w14:textFill>
            <w14:solidFill>
              <w14:schemeClr w14:val="tx1"/>
            </w14:solidFill>
          </w14:textFill>
        </w:rPr>
        <w:t>报告发现的违反法规行为；</w:t>
      </w:r>
    </w:p>
    <w:p>
      <w:pPr>
        <w:pStyle w:val="180"/>
        <w:pageBreakBefore w:val="0"/>
        <w:widowControl w:val="0"/>
        <w:numPr>
          <w:ilvl w:val="0"/>
          <w:numId w:val="4"/>
        </w:numPr>
        <w:tabs>
          <w:tab w:val="left" w:pos="842"/>
        </w:tabs>
        <w:kinsoku/>
        <w:wordWrap/>
        <w:overflowPunct/>
        <w:topLinePunct w:val="0"/>
        <w:bidi w:val="0"/>
        <w:snapToGrid/>
        <w:spacing w:line="560" w:lineRule="exact"/>
        <w:ind w:left="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法律法规允许的情况下，在法律诉讼、仲裁中维护自己的合法权益；</w:t>
      </w:r>
    </w:p>
    <w:p>
      <w:pPr>
        <w:pStyle w:val="180"/>
        <w:pageBreakBefore w:val="0"/>
        <w:widowControl w:val="0"/>
        <w:numPr>
          <w:ilvl w:val="0"/>
          <w:numId w:val="4"/>
        </w:numPr>
        <w:tabs>
          <w:tab w:val="left" w:pos="842"/>
        </w:tabs>
        <w:kinsoku/>
        <w:wordWrap/>
        <w:overflowPunct/>
        <w:topLinePunct w:val="0"/>
        <w:bidi w:val="0"/>
        <w:snapToGrid/>
        <w:spacing w:line="560" w:lineRule="exact"/>
        <w:ind w:left="0" w:right="0" w:firstLine="376"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11"/>
          <w:sz w:val="21"/>
          <w:szCs w:val="21"/>
          <w14:textFill>
            <w14:solidFill>
              <w14:schemeClr w14:val="tx1"/>
            </w14:solidFill>
          </w14:textFill>
        </w:rPr>
        <w:t>接受法院、检察院、行业协会或监管机构等有权机构的检査，答复其询问</w:t>
      </w:r>
      <w:r>
        <w:rPr>
          <w:rFonts w:hint="eastAsia" w:ascii="方正仿宋_GBK" w:hAnsi="方正仿宋_GBK" w:eastAsia="方正仿宋_GBK" w:cs="方正仿宋_GBK"/>
          <w:color w:val="000000" w:themeColor="text1"/>
          <w:sz w:val="21"/>
          <w:szCs w:val="21"/>
          <w14:textFill>
            <w14:solidFill>
              <w14:schemeClr w14:val="tx1"/>
            </w14:solidFill>
          </w14:textFill>
        </w:rPr>
        <w:t>和调查；</w:t>
      </w:r>
    </w:p>
    <w:p>
      <w:pPr>
        <w:pStyle w:val="180"/>
        <w:pageBreakBefore w:val="0"/>
        <w:widowControl w:val="0"/>
        <w:numPr>
          <w:ilvl w:val="0"/>
          <w:numId w:val="4"/>
        </w:numPr>
        <w:tabs>
          <w:tab w:val="left" w:pos="842"/>
        </w:tabs>
        <w:kinsoku/>
        <w:wordWrap/>
        <w:overflowPunct/>
        <w:topLinePunct w:val="0"/>
        <w:bidi w:val="0"/>
        <w:snapToGrid/>
        <w:spacing w:line="560" w:lineRule="exact"/>
        <w:ind w:left="0" w:right="0" w:firstLine="40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14:textFill>
            <w14:solidFill>
              <w14:schemeClr w14:val="tx1"/>
            </w14:solidFill>
          </w14:textFill>
        </w:rPr>
        <w:t>监管机构对乙方进行行政处罚(包括监管机构处罚前的调查、听证)以及乙</w:t>
      </w:r>
      <w:r>
        <w:rPr>
          <w:rFonts w:hint="eastAsia" w:ascii="方正仿宋_GBK" w:hAnsi="方正仿宋_GBK" w:eastAsia="方正仿宋_GBK" w:cs="方正仿宋_GBK"/>
          <w:color w:val="000000" w:themeColor="text1"/>
          <w:sz w:val="21"/>
          <w:szCs w:val="21"/>
          <w14:textFill>
            <w14:solidFill>
              <w14:schemeClr w14:val="tx1"/>
            </w14:solidFill>
          </w14:textFill>
        </w:rPr>
        <w:t>方对此提起行政复议；</w:t>
      </w:r>
    </w:p>
    <w:p>
      <w:pPr>
        <w:pStyle w:val="180"/>
        <w:pageBreakBefore w:val="0"/>
        <w:widowControl w:val="0"/>
        <w:numPr>
          <w:ilvl w:val="0"/>
          <w:numId w:val="4"/>
        </w:numPr>
        <w:tabs>
          <w:tab w:val="left" w:pos="842"/>
        </w:tabs>
        <w:kinsoku/>
        <w:wordWrap/>
        <w:overflowPunct/>
        <w:topLinePunct w:val="0"/>
        <w:bidi w:val="0"/>
        <w:snapToGrid/>
        <w:spacing w:line="560" w:lineRule="exact"/>
        <w:ind w:left="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法律法规、执业准则和职业道德规范规定的其他情形。</w:t>
      </w:r>
    </w:p>
    <w:p>
      <w:pPr>
        <w:pStyle w:val="18"/>
        <w:pageBreakBefore w:val="0"/>
        <w:widowControl w:val="0"/>
        <w:kinsoku/>
        <w:wordWrap/>
        <w:overflowPunct/>
        <w:topLinePunct w:val="0"/>
        <w:bidi w:val="0"/>
        <w:snapToGrid/>
        <w:spacing w:after="0" w:line="560" w:lineRule="exact"/>
        <w:ind w:left="0" w:right="0" w:firstLine="392" w:firstLineChars="200"/>
        <w:jc w:val="both"/>
        <w:textAlignment w:val="auto"/>
        <w:rPr>
          <w:rFonts w:hint="eastAsia" w:ascii="方正仿宋_GBK" w:hAnsi="方正仿宋_GBK" w:eastAsia="方正仿宋_GBK" w:cs="方正仿宋_GBK"/>
          <w:color w:val="000000" w:themeColor="text1"/>
          <w:spacing w:val="-7"/>
          <w:sz w:val="21"/>
          <w:szCs w:val="21"/>
          <w14:textFill>
            <w14:solidFill>
              <w14:schemeClr w14:val="tx1"/>
            </w14:solidFill>
          </w14:textFill>
        </w:rPr>
      </w:pPr>
      <w:r>
        <w:rPr>
          <w:rFonts w:hint="eastAsia" w:ascii="方正仿宋_GBK" w:hAnsi="方正仿宋_GBK" w:eastAsia="方正仿宋_GBK" w:cs="方正仿宋_GBK"/>
          <w:color w:val="000000" w:themeColor="text1"/>
          <w:spacing w:val="-7"/>
          <w:sz w:val="21"/>
          <w:szCs w:val="21"/>
          <w14:textFill>
            <w14:solidFill>
              <w14:schemeClr w14:val="tx1"/>
            </w14:solidFill>
          </w14:textFill>
        </w:rPr>
        <w:t>否则乙方不得向除乙方外的第三方披露保密信息。若造成甲方损失的，乙方还应赔偿甲方因此遭受的全部损失。该保密条款的效力不受本合同影响，永久有效。</w:t>
      </w:r>
    </w:p>
    <w:p>
      <w:pPr>
        <w:pStyle w:val="18"/>
        <w:pageBreakBefore w:val="0"/>
        <w:widowControl w:val="0"/>
        <w:kinsoku/>
        <w:wordWrap/>
        <w:overflowPunct/>
        <w:topLinePunct w:val="0"/>
        <w:bidi w:val="0"/>
        <w:snapToGrid/>
        <w:spacing w:after="0" w:line="560" w:lineRule="exact"/>
        <w:ind w:left="0" w:right="0" w:firstLine="392"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7"/>
          <w:sz w:val="21"/>
          <w:szCs w:val="21"/>
          <w14:textFill>
            <w14:solidFill>
              <w14:schemeClr w14:val="tx1"/>
            </w14:solidFill>
          </w14:textFill>
        </w:rPr>
        <w:t>(二)</w:t>
      </w:r>
      <w:r>
        <w:rPr>
          <w:rFonts w:hint="eastAsia" w:ascii="方正仿宋_GBK" w:hAnsi="方正仿宋_GBK" w:eastAsia="方正仿宋_GBK" w:cs="方正仿宋_GBK"/>
          <w:color w:val="000000" w:themeColor="text1"/>
          <w:sz w:val="21"/>
          <w:szCs w:val="21"/>
          <w14:textFill>
            <w14:solidFill>
              <w14:schemeClr w14:val="tx1"/>
            </w14:solidFill>
          </w14:textFill>
        </w:rPr>
        <w:t>为了进行市场拓展、宣传或者推广乙方的服务，不经甲方允许，乙方可以披露曾为甲方工作（包括提供服务）的事实。在这种情况下乙方可以提及甲方的名称</w:t>
      </w:r>
      <w:r>
        <w:rPr>
          <w:rFonts w:hint="eastAsia" w:ascii="方正仿宋_GBK" w:hAnsi="方正仿宋_GBK" w:eastAsia="方正仿宋_GBK" w:cs="方正仿宋_GBK"/>
          <w:sz w:val="21"/>
          <w:szCs w:val="21"/>
        </w:rPr>
        <w:t>或使用甲方的LOGO（徽标）</w:t>
      </w:r>
      <w:r>
        <w:rPr>
          <w:rFonts w:hint="eastAsia" w:ascii="方正仿宋_GBK" w:hAnsi="方正仿宋_GBK" w:eastAsia="方正仿宋_GBK" w:cs="方正仿宋_GBK"/>
          <w:color w:val="000000" w:themeColor="text1"/>
          <w:sz w:val="21"/>
          <w:szCs w:val="21"/>
          <w14:textFill>
            <w14:solidFill>
              <w14:schemeClr w14:val="tx1"/>
            </w14:solidFill>
          </w14:textFill>
        </w:rPr>
        <w:t>，并指出该工作（或服务）的一般性质或种类，所披露的内容仅限于已适当进入公众领域的非保密信息。</w:t>
      </w:r>
    </w:p>
    <w:p>
      <w:pPr>
        <w:pStyle w:val="4"/>
        <w:pageBreakBefore w:val="0"/>
        <w:widowControl w:val="0"/>
        <w:kinsoku/>
        <w:wordWrap/>
        <w:overflowPunct/>
        <w:topLinePunct w:val="0"/>
        <w:bidi w:val="0"/>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八</w:t>
      </w:r>
      <w:r>
        <w:rPr>
          <w:rFonts w:hint="eastAsia" w:ascii="方正仿宋_GBK" w:hAnsi="方正仿宋_GBK" w:eastAsia="方正仿宋_GBK" w:cs="方正仿宋_GBK"/>
          <w:color w:val="000000" w:themeColor="text1"/>
          <w:sz w:val="21"/>
          <w:szCs w:val="21"/>
          <w14:textFill>
            <w14:solidFill>
              <w14:schemeClr w14:val="tx1"/>
            </w14:solidFill>
          </w14:textFill>
        </w:rPr>
        <w:t>、本约定书的有效期间</w:t>
      </w:r>
    </w:p>
    <w:p>
      <w:pPr>
        <w:pStyle w:val="18"/>
        <w:pageBreakBefore w:val="0"/>
        <w:widowControl w:val="0"/>
        <w:kinsoku/>
        <w:wordWrap/>
        <w:overflowPunct/>
        <w:topLinePunct w:val="0"/>
        <w:bidi w:val="0"/>
        <w:snapToGrid/>
        <w:spacing w:after="0" w:line="560" w:lineRule="exact"/>
        <w:ind w:left="0" w:right="0" w:firstLine="404"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4"/>
          <w:sz w:val="21"/>
          <w:szCs w:val="21"/>
          <w14:textFill>
            <w14:solidFill>
              <w14:schemeClr w14:val="tx1"/>
            </w14:solidFill>
          </w14:textFill>
        </w:rPr>
        <w:t>本约定书自双方</w:t>
      </w:r>
      <w:r>
        <w:rPr>
          <w:rFonts w:hint="eastAsia" w:ascii="方正仿宋_GBK" w:hAnsi="方正仿宋_GBK" w:eastAsia="方正仿宋_GBK" w:cs="方正仿宋_GBK"/>
          <w:color w:val="000000" w:themeColor="text1"/>
          <w:spacing w:val="-6"/>
          <w:sz w:val="21"/>
          <w:szCs w:val="21"/>
          <w14:textFill>
            <w14:solidFill>
              <w14:schemeClr w14:val="tx1"/>
            </w14:solidFill>
          </w14:textFill>
        </w:rPr>
        <w:t>加盖公章或合同专用章之日起生效，并在双方履行完毕本约定书约定的所有义务</w:t>
      </w:r>
      <w:r>
        <w:rPr>
          <w:rFonts w:hint="eastAsia" w:ascii="方正仿宋_GBK" w:hAnsi="方正仿宋_GBK" w:eastAsia="方正仿宋_GBK" w:cs="方正仿宋_GBK"/>
          <w:color w:val="000000" w:themeColor="text1"/>
          <w:spacing w:val="-10"/>
          <w:sz w:val="21"/>
          <w:szCs w:val="21"/>
          <w14:textFill>
            <w14:solidFill>
              <w14:schemeClr w14:val="tx1"/>
            </w14:solidFill>
          </w14:textFill>
        </w:rPr>
        <w:t>后终止。但其中第五、</w:t>
      </w:r>
      <w:r>
        <w:rPr>
          <w:rFonts w:hint="eastAsia" w:ascii="方正仿宋_GBK" w:hAnsi="方正仿宋_GBK" w:eastAsia="方正仿宋_GBK" w:cs="方正仿宋_GBK"/>
          <w:color w:val="000000" w:themeColor="text1"/>
          <w:spacing w:val="-10"/>
          <w:sz w:val="21"/>
          <w:szCs w:val="21"/>
          <w:lang w:val="en-US" w:eastAsia="zh-CN"/>
          <w14:textFill>
            <w14:solidFill>
              <w14:schemeClr w14:val="tx1"/>
            </w14:solidFill>
          </w14:textFill>
        </w:rPr>
        <w:t>七</w:t>
      </w:r>
      <w:r>
        <w:rPr>
          <w:rFonts w:hint="eastAsia" w:ascii="方正仿宋_GBK" w:hAnsi="方正仿宋_GBK" w:eastAsia="方正仿宋_GBK" w:cs="方正仿宋_GBK"/>
          <w:color w:val="000000" w:themeColor="text1"/>
          <w:spacing w:val="-10"/>
          <w:sz w:val="21"/>
          <w:szCs w:val="21"/>
          <w14:textFill>
            <w14:solidFill>
              <w14:schemeClr w14:val="tx1"/>
            </w14:solidFill>
          </w14:textFill>
        </w:rPr>
        <w:t>、</w:t>
      </w:r>
      <w:r>
        <w:rPr>
          <w:rFonts w:hint="eastAsia" w:ascii="方正仿宋_GBK" w:hAnsi="方正仿宋_GBK" w:eastAsia="方正仿宋_GBK" w:cs="方正仿宋_GBK"/>
          <w:color w:val="000000" w:themeColor="text1"/>
          <w:spacing w:val="-10"/>
          <w:sz w:val="21"/>
          <w:szCs w:val="21"/>
          <w:lang w:val="en-US" w:eastAsia="zh-CN"/>
          <w14:textFill>
            <w14:solidFill>
              <w14:schemeClr w14:val="tx1"/>
            </w14:solidFill>
          </w14:textFill>
        </w:rPr>
        <w:t>十</w:t>
      </w:r>
      <w:r>
        <w:rPr>
          <w:rFonts w:hint="eastAsia" w:ascii="方正仿宋_GBK" w:hAnsi="方正仿宋_GBK" w:eastAsia="方正仿宋_GBK" w:cs="方正仿宋_GBK"/>
          <w:color w:val="000000" w:themeColor="text1"/>
          <w:spacing w:val="-10"/>
          <w:sz w:val="21"/>
          <w:szCs w:val="21"/>
          <w14:textFill>
            <w14:solidFill>
              <w14:schemeClr w14:val="tx1"/>
            </w14:solidFill>
          </w14:textFill>
        </w:rPr>
        <w:t>、十</w:t>
      </w:r>
      <w:r>
        <w:rPr>
          <w:rFonts w:hint="eastAsia" w:ascii="方正仿宋_GBK" w:hAnsi="方正仿宋_GBK" w:eastAsia="方正仿宋_GBK" w:cs="方正仿宋_GBK"/>
          <w:color w:val="000000" w:themeColor="text1"/>
          <w:spacing w:val="-10"/>
          <w:sz w:val="21"/>
          <w:szCs w:val="21"/>
          <w:lang w:val="en-US" w:eastAsia="zh-CN"/>
          <w14:textFill>
            <w14:solidFill>
              <w14:schemeClr w14:val="tx1"/>
            </w14:solidFill>
          </w14:textFill>
        </w:rPr>
        <w:t>一</w:t>
      </w:r>
      <w:r>
        <w:rPr>
          <w:rFonts w:hint="eastAsia" w:ascii="方正仿宋_GBK" w:hAnsi="方正仿宋_GBK" w:eastAsia="方正仿宋_GBK" w:cs="方正仿宋_GBK"/>
          <w:color w:val="000000" w:themeColor="text1"/>
          <w:spacing w:val="-10"/>
          <w:sz w:val="21"/>
          <w:szCs w:val="21"/>
          <w14:textFill>
            <w14:solidFill>
              <w14:schemeClr w14:val="tx1"/>
            </w14:solidFill>
          </w14:textFill>
        </w:rPr>
        <w:t>、十</w:t>
      </w:r>
      <w:r>
        <w:rPr>
          <w:rFonts w:hint="eastAsia" w:ascii="方正仿宋_GBK" w:hAnsi="方正仿宋_GBK" w:eastAsia="方正仿宋_GBK" w:cs="方正仿宋_GBK"/>
          <w:color w:val="000000" w:themeColor="text1"/>
          <w:spacing w:val="-10"/>
          <w:sz w:val="21"/>
          <w:szCs w:val="21"/>
          <w:lang w:val="en-US" w:eastAsia="zh-CN"/>
          <w14:textFill>
            <w14:solidFill>
              <w14:schemeClr w14:val="tx1"/>
            </w14:solidFill>
          </w14:textFill>
        </w:rPr>
        <w:t>二</w:t>
      </w:r>
      <w:r>
        <w:rPr>
          <w:rFonts w:hint="eastAsia" w:ascii="方正仿宋_GBK" w:hAnsi="方正仿宋_GBK" w:eastAsia="方正仿宋_GBK" w:cs="方正仿宋_GBK"/>
          <w:color w:val="000000" w:themeColor="text1"/>
          <w:spacing w:val="-10"/>
          <w:sz w:val="21"/>
          <w:szCs w:val="21"/>
          <w14:textFill>
            <w14:solidFill>
              <w14:schemeClr w14:val="tx1"/>
            </w14:solidFill>
          </w14:textFill>
        </w:rPr>
        <w:t>项并不因本约定书终止而失效。</w:t>
      </w:r>
    </w:p>
    <w:p>
      <w:pPr>
        <w:pStyle w:val="4"/>
        <w:pageBreakBefore w:val="0"/>
        <w:widowControl w:val="0"/>
        <w:kinsoku/>
        <w:wordWrap/>
        <w:overflowPunct/>
        <w:topLinePunct w:val="0"/>
        <w:bidi w:val="0"/>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九</w:t>
      </w:r>
      <w:r>
        <w:rPr>
          <w:rFonts w:hint="eastAsia" w:ascii="方正仿宋_GBK" w:hAnsi="方正仿宋_GBK" w:eastAsia="方正仿宋_GBK" w:cs="方正仿宋_GBK"/>
          <w:color w:val="000000" w:themeColor="text1"/>
          <w:sz w:val="21"/>
          <w:szCs w:val="21"/>
          <w14:textFill>
            <w14:solidFill>
              <w14:schemeClr w14:val="tx1"/>
            </w14:solidFill>
          </w14:textFill>
        </w:rPr>
        <w:t>、约定事项的变更</w:t>
      </w:r>
    </w:p>
    <w:p>
      <w:pPr>
        <w:pageBreakBefore w:val="0"/>
        <w:widowControl w:val="0"/>
        <w:kinsoku/>
        <w:wordWrap/>
        <w:overflowPunct/>
        <w:topLinePunct w:val="0"/>
        <w:bidi w:val="0"/>
        <w:snapToGrid/>
        <w:spacing w:line="560" w:lineRule="exact"/>
        <w:ind w:left="0" w:right="0" w:firstLine="420"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sz w:val="21"/>
          <w:szCs w:val="21"/>
        </w:rPr>
        <w:t>如果出现不可预见的情况，影响审计工作的如期完成，或需要提前出具审计报告，甲、乙双方均可要求变更约定事项，但应在不可预见情况发生后10日内书面通知对方，并由双方协商解决。</w:t>
      </w:r>
    </w:p>
    <w:p>
      <w:pPr>
        <w:pStyle w:val="4"/>
        <w:pageBreakBefore w:val="0"/>
        <w:widowControl w:val="0"/>
        <w:kinsoku/>
        <w:wordWrap/>
        <w:overflowPunct/>
        <w:topLinePunct w:val="0"/>
        <w:bidi w:val="0"/>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十</w:t>
      </w:r>
      <w:r>
        <w:rPr>
          <w:rFonts w:hint="eastAsia" w:ascii="方正仿宋_GBK" w:hAnsi="方正仿宋_GBK" w:eastAsia="方正仿宋_GBK" w:cs="方正仿宋_GBK"/>
          <w:color w:val="000000" w:themeColor="text1"/>
          <w:sz w:val="21"/>
          <w:szCs w:val="21"/>
          <w14:textFill>
            <w14:solidFill>
              <w14:schemeClr w14:val="tx1"/>
            </w14:solidFill>
          </w14:textFill>
        </w:rPr>
        <w:t>、终止条款</w:t>
      </w:r>
    </w:p>
    <w:p>
      <w:pPr>
        <w:pageBreakBefore w:val="0"/>
        <w:widowControl w:val="0"/>
        <w:kinsoku/>
        <w:wordWrap/>
        <w:overflowPunct/>
        <w:topLinePunct w:val="0"/>
        <w:bidi w:val="0"/>
        <w:snapToGrid/>
        <w:spacing w:line="560" w:lineRule="exact"/>
        <w:ind w:left="0" w:right="0" w:firstLine="388"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themeColor="text1"/>
          <w:spacing w:val="-8"/>
          <w:sz w:val="21"/>
          <w:szCs w:val="21"/>
          <w14:textFill>
            <w14:solidFill>
              <w14:schemeClr w14:val="tx1"/>
            </w14:solidFill>
          </w14:textFill>
        </w:rPr>
        <w:t>(一)</w:t>
      </w:r>
      <w:r>
        <w:rPr>
          <w:rFonts w:hint="eastAsia" w:ascii="方正仿宋_GBK" w:hAnsi="方正仿宋_GBK" w:eastAsia="方正仿宋_GBK" w:cs="方正仿宋_GBK"/>
          <w:sz w:val="21"/>
          <w:szCs w:val="21"/>
        </w:rPr>
        <w:t>如果乙方被监管机构处罚，或者乙方未按约定派出相应人员根据要求到现场开展工作，或者根据乙方的职业道德及其他有关专业职责、适用的法律法规、其他任何法定的要求及自身其他原因，导致乙方不能满足甲方需求，甲方认为乙方已不适宜继续为其提供本协议书约定的审计服务，甲方可以书面形式正式终止本协议书。</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乙方有权就其于本约定书终止之日前对约定的专项审计服务项目所做的工作收取合理的业务费用。但</w:t>
      </w:r>
      <w:r>
        <w:rPr>
          <w:rFonts w:hint="eastAsia" w:ascii="方正仿宋_GBK" w:hAnsi="方正仿宋_GBK" w:eastAsia="方正仿宋_GBK" w:cs="方正仿宋_GBK"/>
          <w:sz w:val="21"/>
          <w:szCs w:val="21"/>
        </w:rPr>
        <w:t>因乙方原因导致合同终止或无效的</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，乙方应退还已收取的全部费用，同时应向甲方承担本约定书项下总服务费用30%的违约金。</w:t>
      </w:r>
      <w:r>
        <w:rPr>
          <w:rFonts w:hint="eastAsia" w:ascii="方正仿宋_GBK" w:hAnsi="方正仿宋_GBK" w:eastAsia="方正仿宋_GBK" w:cs="方正仿宋_GBK"/>
          <w:sz w:val="21"/>
          <w:szCs w:val="21"/>
        </w:rPr>
        <w:t>如果合作期内由于监管规定变更，甲方有权视需求调整本协议。</w:t>
      </w:r>
    </w:p>
    <w:p>
      <w:pPr>
        <w:pageBreakBefore w:val="0"/>
        <w:widowControl w:val="0"/>
        <w:kinsoku/>
        <w:wordWrap/>
        <w:overflowPunct/>
        <w:topLinePunct w:val="0"/>
        <w:bidi w:val="0"/>
        <w:snapToGrid/>
        <w:spacing w:line="5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（二）乙方非合理理由终止协议书的，应当退还甲方已支付的费用，</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同时应向甲方承担本约定书项下总服务费用30%的违约金</w:t>
      </w:r>
      <w:r>
        <w:rPr>
          <w:rFonts w:hint="eastAsia" w:ascii="方正仿宋_GBK" w:hAnsi="方正仿宋_GBK" w:eastAsia="方正仿宋_GBK" w:cs="方正仿宋_GBK"/>
          <w:sz w:val="21"/>
          <w:szCs w:val="21"/>
        </w:rPr>
        <w:t>。</w:t>
      </w:r>
    </w:p>
    <w:p>
      <w:pPr>
        <w:pStyle w:val="4"/>
        <w:pageBreakBefore w:val="0"/>
        <w:widowControl w:val="0"/>
        <w:kinsoku/>
        <w:wordWrap/>
        <w:overflowPunct/>
        <w:topLinePunct w:val="0"/>
        <w:bidi w:val="0"/>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十</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21"/>
          <w:szCs w:val="21"/>
          <w14:textFill>
            <w14:solidFill>
              <w14:schemeClr w14:val="tx1"/>
            </w14:solidFill>
          </w14:textFill>
        </w:rPr>
        <w:t>、违约责任</w:t>
      </w:r>
    </w:p>
    <w:p>
      <w:pPr>
        <w:pStyle w:val="18"/>
        <w:pageBreakBefore w:val="0"/>
        <w:widowControl w:val="0"/>
        <w:kinsoku/>
        <w:wordWrap/>
        <w:overflowPunct/>
        <w:topLinePunct w:val="0"/>
        <w:bidi w:val="0"/>
        <w:snapToGrid/>
        <w:spacing w:after="0" w:line="560" w:lineRule="exact"/>
        <w:ind w:left="0" w:right="0" w:firstLine="404" w:firstLineChars="200"/>
        <w:jc w:val="both"/>
        <w:textAlignment w:val="auto"/>
        <w:rPr>
          <w:rFonts w:hint="eastAsia" w:ascii="方正仿宋_GBK" w:hAnsi="方正仿宋_GBK" w:eastAsia="方正仿宋_GBK" w:cs="方正仿宋_GBK"/>
          <w:color w:val="000000" w:themeColor="text1"/>
          <w:spacing w:val="-4"/>
          <w:sz w:val="21"/>
          <w:szCs w:val="21"/>
          <w14:textFill>
            <w14:solidFill>
              <w14:schemeClr w14:val="tx1"/>
            </w14:solidFill>
          </w14:textFill>
        </w:rPr>
      </w:pPr>
      <w:r>
        <w:rPr>
          <w:rFonts w:hint="eastAsia" w:ascii="方正仿宋_GBK" w:hAnsi="方正仿宋_GBK" w:eastAsia="方正仿宋_GBK" w:cs="方正仿宋_GBK"/>
          <w:color w:val="000000" w:themeColor="text1"/>
          <w:spacing w:val="-4"/>
          <w:sz w:val="21"/>
          <w:szCs w:val="21"/>
          <w14:textFill>
            <w14:solidFill>
              <w14:schemeClr w14:val="tx1"/>
            </w14:solidFill>
          </w14:textFill>
        </w:rPr>
        <w:t>甲乙双方任一方违反本约定书项下任一约定的，违约方应向守约方承担本约定书项下总服务费用30%的违约金。违约金不足以弥补守约方损失的，违约方还应赔偿守约方因此遭受的全部损失。</w:t>
      </w:r>
    </w:p>
    <w:p>
      <w:pPr>
        <w:pStyle w:val="4"/>
        <w:pageBreakBefore w:val="0"/>
        <w:widowControl w:val="0"/>
        <w:kinsoku/>
        <w:wordWrap/>
        <w:overflowPunct/>
        <w:topLinePunct w:val="0"/>
        <w:bidi w:val="0"/>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十</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21"/>
          <w:szCs w:val="21"/>
          <w14:textFill>
            <w14:solidFill>
              <w14:schemeClr w14:val="tx1"/>
            </w14:solidFill>
          </w14:textFill>
        </w:rPr>
        <w:t>、适用法律和争议解决</w:t>
      </w:r>
    </w:p>
    <w:p>
      <w:pPr>
        <w:pageBreakBefore w:val="0"/>
        <w:widowControl w:val="0"/>
        <w:kinsoku/>
        <w:wordWrap/>
        <w:overflowPunct/>
        <w:topLinePunct w:val="0"/>
        <w:bidi w:val="0"/>
        <w:snapToGrid/>
        <w:spacing w:line="5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协议书的所有方面均应适用中华人民共和国法律进行解释并受其约束。因本协议书所引起的或与本协议书有关的任何纠纷或争议（包括关于本协议书条款的存在、效力或终止，或无效之后果），双方协商确定采取向甲方所在地人民法院提起诉讼方式予以解决。</w:t>
      </w:r>
    </w:p>
    <w:p>
      <w:pPr>
        <w:pStyle w:val="4"/>
        <w:pageBreakBefore w:val="0"/>
        <w:widowControl w:val="0"/>
        <w:kinsoku/>
        <w:wordWrap/>
        <w:overflowPunct/>
        <w:topLinePunct w:val="0"/>
        <w:bidi w:val="0"/>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十</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21"/>
          <w:szCs w:val="21"/>
          <w14:textFill>
            <w14:solidFill>
              <w14:schemeClr w14:val="tx1"/>
            </w14:solidFill>
          </w14:textFill>
        </w:rPr>
        <w:t>、双方对其他有关事项的约定</w:t>
      </w:r>
    </w:p>
    <w:p>
      <w:pPr>
        <w:pStyle w:val="18"/>
        <w:pageBreakBefore w:val="0"/>
        <w:widowControl w:val="0"/>
        <w:kinsoku/>
        <w:wordWrap/>
        <w:overflowPunct/>
        <w:topLinePunct w:val="0"/>
        <w:bidi w:val="0"/>
        <w:snapToGrid/>
        <w:spacing w:after="0" w:afterLines="-2147483648" w:line="560" w:lineRule="exact"/>
        <w:ind w:left="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（一）本协议书自双方法定代表人（授权代表）签章并加盖公章之日起生效，一式肆份，甲、乙双方各执贰份，具有同等法律效力。</w:t>
      </w:r>
    </w:p>
    <w:p>
      <w:pPr>
        <w:pStyle w:val="18"/>
        <w:pageBreakBefore w:val="0"/>
        <w:widowControl w:val="0"/>
        <w:kinsoku/>
        <w:wordWrap/>
        <w:overflowPunct/>
        <w:topLinePunct w:val="0"/>
        <w:bidi w:val="0"/>
        <w:snapToGrid/>
        <w:spacing w:after="0" w:afterLines="-2147483648" w:line="560" w:lineRule="exact"/>
        <w:ind w:left="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（二）《</w:t>
      </w:r>
      <w:bookmarkStart w:id="7" w:name="OLE_LINK1"/>
      <w:r>
        <w:rPr>
          <w:rFonts w:hint="eastAsia" w:ascii="方正仿宋_GBK" w:hAnsi="方正仿宋_GBK" w:eastAsia="方正仿宋_GBK" w:cs="方正仿宋_GBK"/>
          <w:color w:val="000000" w:themeColor="text1"/>
          <w:sz w:val="21"/>
          <w:szCs w:val="21"/>
          <w14:textFill>
            <w14:solidFill>
              <w14:schemeClr w14:val="tx1"/>
            </w14:solidFill>
          </w14:textFill>
        </w:rPr>
        <w:t>广西北部湾银行</w:t>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2023年</w:t>
      </w:r>
      <w:r>
        <w:rPr>
          <w:rFonts w:hint="eastAsia" w:ascii="方正仿宋_GBK" w:hAnsi="方正仿宋_GBK" w:eastAsia="方正仿宋_GBK" w:cs="方正仿宋_GBK"/>
          <w:color w:val="000000" w:themeColor="text1"/>
          <w:sz w:val="21"/>
          <w:szCs w:val="21"/>
          <w14:textFill>
            <w14:solidFill>
              <w14:schemeClr w14:val="tx1"/>
            </w14:solidFill>
          </w14:textFill>
        </w:rPr>
        <w:t>理财业务</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和理财产品</w:t>
      </w:r>
      <w:r>
        <w:rPr>
          <w:rFonts w:hint="eastAsia" w:ascii="方正仿宋_GBK" w:hAnsi="方正仿宋_GBK" w:eastAsia="方正仿宋_GBK" w:cs="方正仿宋_GBK"/>
          <w:color w:val="000000" w:themeColor="text1"/>
          <w:sz w:val="21"/>
          <w:szCs w:val="21"/>
          <w14:textFill>
            <w14:solidFill>
              <w14:schemeClr w14:val="tx1"/>
            </w14:solidFill>
          </w14:textFill>
        </w:rPr>
        <w:t>外部审计项目业务约定书保密协议</w:t>
      </w:r>
      <w:bookmarkEnd w:id="7"/>
      <w:r>
        <w:rPr>
          <w:rFonts w:hint="eastAsia" w:ascii="方正仿宋_GBK" w:hAnsi="方正仿宋_GBK" w:eastAsia="方正仿宋_GBK" w:cs="方正仿宋_GBK"/>
          <w:color w:val="000000" w:themeColor="text1"/>
          <w:sz w:val="21"/>
          <w:szCs w:val="21"/>
          <w14:textFill>
            <w14:solidFill>
              <w14:schemeClr w14:val="tx1"/>
            </w14:solidFill>
          </w14:textFill>
        </w:rPr>
        <w:t>》作为本协议书的附件，为本协议书不可分割之组成部分，与本协议书具有同等法律效力。两者约定不一致的，以附件为准。</w:t>
      </w:r>
    </w:p>
    <w:p>
      <w:pPr>
        <w:pStyle w:val="4"/>
        <w:pageBreakBefore w:val="0"/>
        <w:widowControl w:val="0"/>
        <w:kinsoku/>
        <w:wordWrap/>
        <w:overflowPunct/>
        <w:topLinePunct w:val="0"/>
        <w:bidi w:val="0"/>
        <w:snapToGrid/>
        <w:spacing w:before="0" w:after="0" w:line="560" w:lineRule="exact"/>
        <w:ind w:left="0" w:right="0" w:firstLine="422" w:firstLineChars="20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十</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21"/>
          <w:szCs w:val="21"/>
          <w14:textFill>
            <w14:solidFill>
              <w14:schemeClr w14:val="tx1"/>
            </w14:solidFill>
          </w14:textFill>
        </w:rPr>
        <w:t>、通知与送达</w:t>
      </w:r>
    </w:p>
    <w:p>
      <w:pPr>
        <w:pStyle w:val="18"/>
        <w:pageBreakBefore w:val="0"/>
        <w:widowControl w:val="0"/>
        <w:kinsoku/>
        <w:wordWrap/>
        <w:overflowPunct/>
        <w:topLinePunct w:val="0"/>
        <w:bidi w:val="0"/>
        <w:snapToGrid/>
        <w:spacing w:after="0" w:line="560" w:lineRule="exact"/>
        <w:ind w:left="0" w:right="0" w:firstLine="42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(一)双方确认以本合同签署页记载的地址作为本项下争议所涉诉讼文</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书的送达地址。诉讼文书包括但不限于传票、开庭通知书、判决书、裁定书、调</w:t>
      </w:r>
      <w:r>
        <w:rPr>
          <w:rFonts w:hint="eastAsia" w:ascii="方正仿宋_GBK" w:hAnsi="方正仿宋_GBK" w:eastAsia="方正仿宋_GBK" w:cs="方正仿宋_GBK"/>
          <w:color w:val="000000" w:themeColor="text1"/>
          <w:sz w:val="21"/>
          <w:szCs w:val="21"/>
          <w14:textFill>
            <w14:solidFill>
              <w14:schemeClr w14:val="tx1"/>
            </w14:solidFill>
          </w14:textFill>
        </w:rPr>
        <w:t>解书、限期履行通知书等。</w:t>
      </w:r>
    </w:p>
    <w:p>
      <w:pPr>
        <w:pStyle w:val="18"/>
        <w:pageBreakBefore w:val="0"/>
        <w:widowControl w:val="0"/>
        <w:kinsoku/>
        <w:wordWrap/>
        <w:overflowPunct/>
        <w:topLinePunct w:val="0"/>
        <w:bidi w:val="0"/>
        <w:snapToGrid/>
        <w:spacing w:after="0" w:line="560" w:lineRule="exact"/>
        <w:ind w:left="0" w:right="0" w:firstLine="404"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4"/>
          <w:sz w:val="21"/>
          <w:szCs w:val="21"/>
          <w14:textFill>
            <w14:solidFill>
              <w14:schemeClr w14:val="tx1"/>
            </w14:solidFill>
          </w14:textFill>
        </w:rPr>
        <w:t>(二)双方同意法院可使用本合同签署页所记载的电子邮件送达除判决书、裁</w:t>
      </w:r>
      <w:r>
        <w:rPr>
          <w:rFonts w:hint="eastAsia" w:ascii="方正仿宋_GBK" w:hAnsi="方正仿宋_GBK" w:eastAsia="方正仿宋_GBK" w:cs="方正仿宋_GBK"/>
          <w:color w:val="000000" w:themeColor="text1"/>
          <w:sz w:val="21"/>
          <w:szCs w:val="21"/>
          <w14:textFill>
            <w14:solidFill>
              <w14:schemeClr w14:val="tx1"/>
            </w14:solidFill>
          </w14:textFill>
        </w:rPr>
        <w:t>定书、调解书以外的诉讼文书。</w:t>
      </w:r>
    </w:p>
    <w:p>
      <w:pPr>
        <w:pStyle w:val="18"/>
        <w:pageBreakBefore w:val="0"/>
        <w:widowControl w:val="0"/>
        <w:kinsoku/>
        <w:wordWrap/>
        <w:overflowPunct/>
        <w:topLinePunct w:val="0"/>
        <w:bidi w:val="0"/>
        <w:snapToGrid/>
        <w:spacing w:after="0" w:line="560" w:lineRule="exact"/>
        <w:ind w:left="0" w:right="0" w:firstLine="416"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1"/>
          <w:sz w:val="21"/>
          <w:szCs w:val="21"/>
          <w14:textFill>
            <w14:solidFill>
              <w14:schemeClr w14:val="tx1"/>
            </w14:solidFill>
          </w14:textFill>
        </w:rPr>
        <w:t>(三)上述送达约定适用于诉讼程序中的一审、二审、再审和执行各个阶段。</w:t>
      </w:r>
      <w:r>
        <w:rPr>
          <w:rFonts w:hint="eastAsia" w:ascii="方正仿宋_GBK" w:hAnsi="方正仿宋_GBK" w:eastAsia="方正仿宋_GBK" w:cs="方正仿宋_GBK"/>
          <w:color w:val="000000" w:themeColor="text1"/>
          <w:spacing w:val="-8"/>
          <w:sz w:val="21"/>
          <w:szCs w:val="21"/>
          <w14:textFill>
            <w14:solidFill>
              <w14:schemeClr w14:val="tx1"/>
            </w14:solidFill>
          </w14:textFill>
        </w:rPr>
        <w:t>对于上述送达地址，法院进行送达时可直接邮寄送达，双方同意法院按照上述约定送达即具有送达的效力。</w:t>
      </w:r>
    </w:p>
    <w:p>
      <w:pPr>
        <w:pStyle w:val="18"/>
        <w:pageBreakBefore w:val="0"/>
        <w:widowControl w:val="0"/>
        <w:kinsoku/>
        <w:wordWrap/>
        <w:overflowPunct/>
        <w:topLinePunct w:val="0"/>
        <w:bidi w:val="0"/>
        <w:snapToGrid/>
        <w:spacing w:after="0" w:line="560" w:lineRule="exact"/>
        <w:ind w:left="0" w:right="0" w:firstLine="392"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pacing w:val="-7"/>
          <w:sz w:val="21"/>
          <w:szCs w:val="21"/>
          <w14:textFill>
            <w14:solidFill>
              <w14:schemeClr w14:val="tx1"/>
            </w14:solidFill>
          </w14:textFill>
        </w:rPr>
        <w:t>(四)双方应确保本合同记载的地址、联系人、电子邮件等各项信息的真实有</w:t>
      </w:r>
      <w:r>
        <w:rPr>
          <w:rFonts w:hint="eastAsia" w:ascii="方正仿宋_GBK" w:hAnsi="方正仿宋_GBK" w:eastAsia="方正仿宋_GBK" w:cs="方正仿宋_GBK"/>
          <w:color w:val="000000" w:themeColor="text1"/>
          <w:spacing w:val="-11"/>
          <w:sz w:val="21"/>
          <w:szCs w:val="21"/>
          <w14:textFill>
            <w14:solidFill>
              <w14:schemeClr w14:val="tx1"/>
            </w14:solidFill>
          </w14:textFill>
        </w:rPr>
        <w:t>效性，任一方相关信息如有变更，应及时书面通知对方，否则按原地址信息进行</w:t>
      </w:r>
      <w:r>
        <w:rPr>
          <w:rFonts w:hint="eastAsia" w:ascii="方正仿宋_GBK" w:hAnsi="方正仿宋_GBK" w:eastAsia="方正仿宋_GBK" w:cs="方正仿宋_GBK"/>
          <w:color w:val="000000" w:themeColor="text1"/>
          <w:sz w:val="21"/>
          <w:szCs w:val="21"/>
          <w14:textFill>
            <w14:solidFill>
              <w14:schemeClr w14:val="tx1"/>
            </w14:solidFill>
          </w14:textFill>
        </w:rPr>
        <w:t>的送达仍然有效，该方应自行承担由此产生的法律后果。</w:t>
      </w:r>
    </w:p>
    <w:p>
      <w:pPr>
        <w:pStyle w:val="18"/>
        <w:spacing w:line="364" w:lineRule="auto"/>
        <w:ind w:left="120" w:right="356" w:firstLine="480"/>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spacing w:line="364" w:lineRule="auto"/>
        <w:ind w:left="120" w:right="356" w:firstLine="480"/>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
        <w:spacing w:line="364" w:lineRule="auto"/>
        <w:ind w:left="0" w:right="356" w:firstLine="480"/>
        <w:jc w:val="both"/>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snapToGrid w:val="0"/>
          <w:sz w:val="21"/>
          <w:szCs w:val="21"/>
        </w:rPr>
        <w:t>附件：《广西北部湾银行</w:t>
      </w:r>
      <w:r>
        <w:rPr>
          <w:rFonts w:hint="eastAsia" w:ascii="方正仿宋_GBK" w:hAnsi="方正仿宋_GBK" w:eastAsia="方正仿宋_GBK" w:cs="方正仿宋_GBK"/>
          <w:snapToGrid w:val="0"/>
          <w:sz w:val="21"/>
          <w:szCs w:val="21"/>
          <w:lang w:eastAsia="zh-CN"/>
        </w:rPr>
        <w:t>2023年</w:t>
      </w:r>
      <w:r>
        <w:rPr>
          <w:rFonts w:hint="eastAsia" w:ascii="方正仿宋_GBK" w:hAnsi="方正仿宋_GBK" w:eastAsia="方正仿宋_GBK" w:cs="方正仿宋_GBK"/>
          <w:snapToGrid w:val="0"/>
          <w:sz w:val="21"/>
          <w:szCs w:val="21"/>
        </w:rPr>
        <w:t>理财业务</w:t>
      </w:r>
      <w:r>
        <w:rPr>
          <w:rFonts w:hint="eastAsia" w:ascii="方正仿宋_GBK" w:hAnsi="方正仿宋_GBK" w:eastAsia="方正仿宋_GBK" w:cs="方正仿宋_GBK"/>
          <w:snapToGrid w:val="0"/>
          <w:sz w:val="21"/>
          <w:szCs w:val="21"/>
          <w:lang w:val="en-US" w:eastAsia="zh-CN"/>
        </w:rPr>
        <w:t>和理财产品</w:t>
      </w:r>
      <w:r>
        <w:rPr>
          <w:rFonts w:hint="eastAsia" w:ascii="方正仿宋_GBK" w:hAnsi="方正仿宋_GBK" w:eastAsia="方正仿宋_GBK" w:cs="方正仿宋_GBK"/>
          <w:snapToGrid w:val="0"/>
          <w:sz w:val="21"/>
          <w:szCs w:val="21"/>
        </w:rPr>
        <w:t>外部审计项目业务约定书保密协议》</w:t>
      </w:r>
    </w:p>
    <w:p>
      <w:pPr>
        <w:rPr>
          <w:rFonts w:hint="eastAsia" w:ascii="方正仿宋_GBK" w:hAnsi="方正仿宋_GBK" w:eastAsia="方正仿宋_GBK" w:cs="方正仿宋_GBK"/>
          <w:color w:val="000000" w:themeColor="text1"/>
          <w:sz w:val="21"/>
          <w:szCs w:val="21"/>
          <w14:textFill>
            <w14:solidFill>
              <w14:schemeClr w14:val="tx1"/>
            </w14:solidFill>
          </w14:textFill>
        </w:rPr>
      </w:pPr>
    </w:p>
    <w:tbl>
      <w:tblPr>
        <w:tblStyle w:val="43"/>
        <w:tblW w:w="9072" w:type="dxa"/>
        <w:tblInd w:w="5" w:type="dxa"/>
        <w:tblLayout w:type="fixed"/>
        <w:tblCellMar>
          <w:top w:w="0" w:type="dxa"/>
          <w:left w:w="0" w:type="dxa"/>
          <w:bottom w:w="0" w:type="dxa"/>
          <w:right w:w="0" w:type="dxa"/>
        </w:tblCellMar>
      </w:tblPr>
      <w:tblGrid>
        <w:gridCol w:w="4536"/>
        <w:gridCol w:w="4536"/>
      </w:tblGrid>
      <w:tr>
        <w:tblPrEx>
          <w:tblCellMar>
            <w:top w:w="0" w:type="dxa"/>
            <w:left w:w="0" w:type="dxa"/>
            <w:bottom w:w="0" w:type="dxa"/>
            <w:right w:w="0" w:type="dxa"/>
          </w:tblCellMar>
        </w:tblPrEx>
        <w:trPr>
          <w:trHeight w:val="2517" w:hRule="atLeast"/>
        </w:trPr>
        <w:tc>
          <w:tcPr>
            <w:tcW w:w="4536" w:type="dxa"/>
            <w:shd w:val="clear" w:color="auto" w:fill="auto"/>
          </w:tcPr>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甲方：广西北部湾银行股份有限公司</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p>
          <w:p>
            <w:pPr>
              <w:spacing w:line="360" w:lineRule="auto"/>
              <w:ind w:firstLine="210" w:firstLineChars="10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法定代表人或授权代表： </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 （签名）</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4536" w:type="dxa"/>
            <w:shd w:val="clear" w:color="auto" w:fill="auto"/>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themeColor="text1"/>
                <w:sz w:val="21"/>
                <w:szCs w:val="21"/>
                <w14:textFill>
                  <w14:solidFill>
                    <w14:schemeClr w14:val="tx1"/>
                  </w14:solidFill>
                </w14:textFill>
              </w:rPr>
              <w:t>乙方：</w:t>
            </w:r>
          </w:p>
          <w:p>
            <w:pPr>
              <w:pStyle w:val="182"/>
              <w:spacing w:line="360" w:lineRule="auto"/>
              <w:ind w:left="0" w:leftChars="0" w:firstLine="0" w:firstLineChars="0"/>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p>
          <w:p>
            <w:pPr>
              <w:spacing w:line="360" w:lineRule="auto"/>
              <w:ind w:firstLine="210" w:firstLineChars="10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负责人或授权代表：</w:t>
            </w:r>
          </w:p>
          <w:p>
            <w:pPr>
              <w:pStyle w:val="182"/>
              <w:spacing w:line="360" w:lineRule="auto"/>
              <w:ind w:firstLine="210" w:firstLineChars="10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（签名）</w:t>
            </w:r>
          </w:p>
          <w:p>
            <w:pPr>
              <w:pStyle w:val="182"/>
              <w:spacing w:line="360" w:lineRule="auto"/>
              <w:rPr>
                <w:rFonts w:hint="eastAsia" w:ascii="方正仿宋_GBK" w:hAnsi="方正仿宋_GBK" w:eastAsia="方正仿宋_GBK" w:cs="方正仿宋_GBK"/>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1043" w:hRule="atLeast"/>
        </w:trPr>
        <w:tc>
          <w:tcPr>
            <w:tcW w:w="4536" w:type="dxa"/>
            <w:shd w:val="clear" w:color="auto" w:fill="auto"/>
          </w:tcPr>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签约日期：     年     月     日</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4536" w:type="dxa"/>
            <w:shd w:val="clear" w:color="auto" w:fill="auto"/>
          </w:tcPr>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签约日期：     年     月     日</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433" w:hRule="atLeast"/>
        </w:trPr>
        <w:tc>
          <w:tcPr>
            <w:tcW w:w="4536" w:type="dxa"/>
            <w:shd w:val="clear" w:color="auto" w:fill="auto"/>
          </w:tcPr>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联系人：</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联系电话：</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电子邮箱：</w:t>
            </w:r>
          </w:p>
        </w:tc>
        <w:tc>
          <w:tcPr>
            <w:tcW w:w="4536" w:type="dxa"/>
            <w:shd w:val="clear" w:color="auto" w:fill="auto"/>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themeColor="text1"/>
                <w:sz w:val="21"/>
                <w:szCs w:val="21"/>
                <w14:textFill>
                  <w14:solidFill>
                    <w14:schemeClr w14:val="tx1"/>
                  </w14:solidFill>
                </w14:textFill>
              </w:rPr>
              <w:t>联系人：</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联系电话：</w:t>
            </w:r>
          </w:p>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电子邮箱：</w:t>
            </w:r>
          </w:p>
        </w:tc>
      </w:tr>
      <w:tr>
        <w:tblPrEx>
          <w:tblCellMar>
            <w:top w:w="0" w:type="dxa"/>
            <w:left w:w="0" w:type="dxa"/>
            <w:bottom w:w="0" w:type="dxa"/>
            <w:right w:w="0" w:type="dxa"/>
          </w:tblCellMar>
        </w:tblPrEx>
        <w:trPr>
          <w:trHeight w:val="875" w:hRule="atLeast"/>
        </w:trPr>
        <w:tc>
          <w:tcPr>
            <w:tcW w:w="4536" w:type="dxa"/>
            <w:shd w:val="clear" w:color="auto" w:fill="auto"/>
          </w:tcPr>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通讯地址： </w:t>
            </w:r>
          </w:p>
        </w:tc>
        <w:tc>
          <w:tcPr>
            <w:tcW w:w="4536" w:type="dxa"/>
            <w:shd w:val="clear" w:color="auto" w:fill="auto"/>
          </w:tcPr>
          <w:p>
            <w:pPr>
              <w:pStyle w:val="182"/>
              <w:spacing w:line="360" w:lineRule="auto"/>
              <w:ind w:left="134" w:leftChars="64"/>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通讯地址：</w:t>
            </w:r>
          </w:p>
        </w:tc>
      </w:tr>
      <w:tr>
        <w:tblPrEx>
          <w:tblCellMar>
            <w:top w:w="0" w:type="dxa"/>
            <w:left w:w="0" w:type="dxa"/>
            <w:bottom w:w="0" w:type="dxa"/>
            <w:right w:w="0" w:type="dxa"/>
          </w:tblCellMar>
        </w:tblPrEx>
        <w:trPr>
          <w:trHeight w:val="558" w:hRule="atLeast"/>
        </w:trPr>
        <w:tc>
          <w:tcPr>
            <w:tcW w:w="4536" w:type="dxa"/>
            <w:shd w:val="clear" w:color="auto" w:fill="auto"/>
          </w:tcPr>
          <w:p>
            <w:pPr>
              <w:pStyle w:val="182"/>
              <w:spacing w:line="360" w:lineRule="auto"/>
              <w:ind w:left="134" w:leftChars="64"/>
              <w:rPr>
                <w:color w:val="000000" w:themeColor="text1"/>
                <w:sz w:val="24"/>
                <w:szCs w:val="24"/>
                <w14:textFill>
                  <w14:solidFill>
                    <w14:schemeClr w14:val="tx1"/>
                  </w14:solidFill>
                </w14:textFill>
              </w:rPr>
            </w:pPr>
          </w:p>
        </w:tc>
        <w:tc>
          <w:tcPr>
            <w:tcW w:w="4536" w:type="dxa"/>
            <w:shd w:val="clear" w:color="auto" w:fill="auto"/>
          </w:tcPr>
          <w:p>
            <w:pPr>
              <w:pStyle w:val="182"/>
              <w:spacing w:line="360" w:lineRule="auto"/>
              <w:ind w:left="134" w:leftChars="64"/>
              <w:rPr>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58" w:hRule="atLeast"/>
        </w:trPr>
        <w:tc>
          <w:tcPr>
            <w:tcW w:w="4536" w:type="dxa"/>
            <w:shd w:val="clear" w:color="auto" w:fill="auto"/>
          </w:tcPr>
          <w:p>
            <w:pPr>
              <w:pStyle w:val="182"/>
              <w:spacing w:line="360" w:lineRule="auto"/>
              <w:ind w:left="134" w:leftChars="64"/>
              <w:rPr>
                <w:color w:val="000000" w:themeColor="text1"/>
                <w:sz w:val="24"/>
                <w:szCs w:val="24"/>
                <w:lang w:val="en-US"/>
                <w14:textFill>
                  <w14:solidFill>
                    <w14:schemeClr w14:val="tx1"/>
                  </w14:solidFill>
                </w14:textFill>
              </w:rPr>
            </w:pPr>
          </w:p>
        </w:tc>
        <w:tc>
          <w:tcPr>
            <w:tcW w:w="4536" w:type="dxa"/>
            <w:shd w:val="clear" w:color="auto" w:fill="auto"/>
          </w:tcPr>
          <w:p>
            <w:pPr>
              <w:pStyle w:val="182"/>
              <w:spacing w:line="360" w:lineRule="auto"/>
              <w:ind w:left="134" w:leftChars="64"/>
              <w:rPr>
                <w:color w:val="000000" w:themeColor="text1"/>
                <w:sz w:val="24"/>
                <w:szCs w:val="24"/>
                <w:lang w:val="en-US"/>
                <w14:textFill>
                  <w14:solidFill>
                    <w14:schemeClr w14:val="tx1"/>
                  </w14:solidFill>
                </w14:textFill>
              </w:rPr>
            </w:pPr>
          </w:p>
        </w:tc>
      </w:tr>
    </w:tbl>
    <w:p/>
    <w:p/>
    <w:p/>
    <w:p>
      <w:pPr>
        <w:rPr>
          <w:rFonts w:hint="eastAsia" w:eastAsia="宋体"/>
          <w:lang w:val="en-US" w:eastAsia="zh-CN"/>
        </w:rPr>
      </w:pPr>
    </w:p>
    <w:p>
      <w:pPr>
        <w:shd w:val="clear" w:color="auto"/>
        <w:spacing w:before="0" w:beforeAutospacing="0" w:after="0" w:afterAutospacing="0" w:line="620" w:lineRule="exact"/>
        <w:jc w:val="both"/>
        <w:rPr>
          <w:rFonts w:hint="eastAsia" w:ascii="黑体" w:hAnsi="黑体" w:eastAsia="黑体"/>
          <w:color w:val="000000" w:themeColor="text1"/>
          <w:sz w:val="28"/>
          <w:szCs w:val="28"/>
          <w:lang w:eastAsia="zh-CN"/>
          <w14:textFill>
            <w14:solidFill>
              <w14:schemeClr w14:val="tx1"/>
            </w14:solidFill>
          </w14:textFill>
        </w:rPr>
      </w:pPr>
    </w:p>
    <w:p>
      <w:pPr>
        <w:shd w:val="clear" w:color="auto"/>
        <w:spacing w:before="0" w:beforeAutospacing="0" w:after="0" w:afterAutospacing="0" w:line="620" w:lineRule="exact"/>
        <w:jc w:val="both"/>
        <w:rPr>
          <w:rFonts w:hint="eastAsia" w:ascii="黑体" w:hAnsi="黑体" w:eastAsia="黑体"/>
          <w:color w:val="000000" w:themeColor="text1"/>
          <w:sz w:val="28"/>
          <w:szCs w:val="28"/>
          <w:lang w:eastAsia="zh-CN"/>
          <w14:textFill>
            <w14:solidFill>
              <w14:schemeClr w14:val="tx1"/>
            </w14:solidFill>
          </w14:textFill>
        </w:rPr>
      </w:pPr>
    </w:p>
    <w:p>
      <w:pPr>
        <w:shd w:val="clear" w:color="auto"/>
        <w:spacing w:before="0" w:beforeAutospacing="0" w:after="0" w:afterAutospacing="0" w:line="620" w:lineRule="exact"/>
        <w:jc w:val="both"/>
        <w:rPr>
          <w:rFonts w:hint="eastAsia" w:ascii="黑体" w:hAnsi="黑体" w:eastAsia="黑体"/>
          <w:color w:val="000000" w:themeColor="text1"/>
          <w:sz w:val="28"/>
          <w:szCs w:val="28"/>
          <w:lang w:eastAsia="zh-CN"/>
          <w14:textFill>
            <w14:solidFill>
              <w14:schemeClr w14:val="tx1"/>
            </w14:solidFill>
          </w14:textFill>
        </w:rPr>
      </w:pPr>
    </w:p>
    <w:p>
      <w:pPr>
        <w:shd w:val="clear" w:color="auto"/>
        <w:spacing w:before="0" w:beforeAutospacing="0" w:after="0" w:afterAutospacing="0" w:line="620" w:lineRule="exact"/>
        <w:jc w:val="both"/>
        <w:rPr>
          <w:rFonts w:hint="eastAsia" w:ascii="黑体" w:hAnsi="黑体" w:eastAsia="黑体"/>
          <w:color w:val="000000" w:themeColor="text1"/>
          <w:sz w:val="28"/>
          <w:szCs w:val="28"/>
          <w:lang w:eastAsia="zh-CN"/>
          <w14:textFill>
            <w14:solidFill>
              <w14:schemeClr w14:val="tx1"/>
            </w14:solidFill>
          </w14:textFill>
        </w:rPr>
      </w:pPr>
    </w:p>
    <w:p>
      <w:pPr>
        <w:shd w:val="clear" w:color="auto"/>
        <w:spacing w:before="0" w:beforeAutospacing="0" w:after="0" w:afterAutospacing="0" w:line="620" w:lineRule="exact"/>
        <w:jc w:val="both"/>
        <w:rPr>
          <w:rFonts w:hint="eastAsia" w:ascii="黑体" w:hAnsi="黑体" w:eastAsia="黑体"/>
          <w:color w:val="000000" w:themeColor="text1"/>
          <w:sz w:val="28"/>
          <w:szCs w:val="28"/>
          <w:lang w:eastAsia="zh-CN"/>
          <w14:textFill>
            <w14:solidFill>
              <w14:schemeClr w14:val="tx1"/>
            </w14:solidFill>
          </w14:textFill>
        </w:rPr>
      </w:pPr>
      <w:r>
        <w:rPr>
          <w:rFonts w:hint="eastAsia" w:ascii="黑体" w:hAnsi="黑体" w:eastAsia="黑体"/>
          <w:color w:val="000000" w:themeColor="text1"/>
          <w:sz w:val="28"/>
          <w:szCs w:val="28"/>
          <w:lang w:eastAsia="zh-CN"/>
          <w14:textFill>
            <w14:solidFill>
              <w14:schemeClr w14:val="tx1"/>
            </w14:solidFill>
          </w14:textFill>
        </w:rPr>
        <w:t>附件：</w:t>
      </w:r>
    </w:p>
    <w:p>
      <w:pPr>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广西北部湾银行</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2023年度</w:t>
      </w:r>
      <w:r>
        <w:rPr>
          <w:rFonts w:hint="eastAsia" w:ascii="方正小标宋_GBK" w:hAnsi="方正小标宋_GBK" w:eastAsia="方正小标宋_GBK" w:cs="方正小标宋_GBK"/>
          <w:color w:val="000000" w:themeColor="text1"/>
          <w:sz w:val="32"/>
          <w:szCs w:val="32"/>
          <w14:textFill>
            <w14:solidFill>
              <w14:schemeClr w14:val="tx1"/>
            </w14:solidFill>
          </w14:textFill>
        </w:rPr>
        <w:t>理财业务及理财产品外部</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审计项目业务约定书保密协议</w:t>
      </w:r>
    </w:p>
    <w:p>
      <w:pPr>
        <w:pStyle w:val="38"/>
        <w:shd w:val="clear" w:color="auto"/>
        <w:spacing w:before="0" w:beforeAutospacing="0" w:after="0" w:afterAutospacing="0" w:line="620" w:lineRule="exact"/>
        <w:jc w:val="center"/>
        <w:rPr>
          <w:rFonts w:ascii="方正小标宋简体" w:eastAsia="方正小标宋简体" w:cs="Times New Roman"/>
          <w:color w:val="000000"/>
          <w:sz w:val="44"/>
          <w:szCs w:val="44"/>
        </w:rPr>
      </w:pP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甲方：广西北部湾银行股份有限公司</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地址：南宁市良庆区云英路8号五象总部大厦</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rPr>
        <w:t>法定代表人：</w:t>
      </w:r>
    </w:p>
    <w:p>
      <w:pPr>
        <w:pStyle w:val="38"/>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乙方：</w:t>
      </w:r>
    </w:p>
    <w:p>
      <w:pPr>
        <w:pStyle w:val="38"/>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地址：</w:t>
      </w:r>
    </w:p>
    <w:p>
      <w:pPr>
        <w:pStyle w:val="38"/>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法定代表人：</w:t>
      </w:r>
    </w:p>
    <w:p>
      <w:pPr>
        <w:pStyle w:val="38"/>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both"/>
        <w:rPr>
          <w:rFonts w:hint="eastAsia" w:ascii="方正仿宋_GBK" w:hAnsi="方正仿宋_GBK" w:eastAsia="方正仿宋_GBK" w:cs="方正仿宋_GBK"/>
          <w:color w:val="000000"/>
          <w:sz w:val="21"/>
          <w:szCs w:val="21"/>
        </w:rPr>
      </w:pP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鉴于甲方与乙方签订的《</w:t>
      </w:r>
      <w:r>
        <w:rPr>
          <w:rFonts w:hint="eastAsia" w:ascii="方正仿宋_GBK" w:hAnsi="方正仿宋_GBK" w:eastAsia="方正仿宋_GBK" w:cs="方正仿宋_GBK"/>
          <w:bCs/>
          <w:color w:val="000000"/>
          <w:sz w:val="21"/>
          <w:szCs w:val="21"/>
          <w:lang w:eastAsia="zh-CN"/>
        </w:rPr>
        <w:t>广西北部湾银行2023年度理财业务及理财产品外部审计项目业务约定书</w:t>
      </w:r>
      <w:r>
        <w:rPr>
          <w:rFonts w:hint="eastAsia" w:ascii="方正仿宋_GBK" w:hAnsi="方正仿宋_GBK" w:eastAsia="方正仿宋_GBK" w:cs="方正仿宋_GBK"/>
          <w:color w:val="000000"/>
          <w:sz w:val="21"/>
          <w:szCs w:val="21"/>
        </w:rPr>
        <w:t>》聘用</w:t>
      </w:r>
      <w:r>
        <w:rPr>
          <w:rFonts w:hint="eastAsia" w:ascii="方正仿宋_GBK" w:hAnsi="方正仿宋_GBK" w:eastAsia="方正仿宋_GBK" w:cs="方正仿宋_GBK"/>
          <w:color w:val="000000"/>
          <w:sz w:val="21"/>
          <w:szCs w:val="21"/>
          <w:lang w:val="en-US" w:eastAsia="zh-CN"/>
        </w:rPr>
        <w:t>乙方为</w:t>
      </w:r>
      <w:r>
        <w:rPr>
          <w:rFonts w:hint="eastAsia" w:ascii="方正仿宋_GBK" w:hAnsi="方正仿宋_GBK" w:eastAsia="方正仿宋_GBK" w:cs="方正仿宋_GBK"/>
          <w:color w:val="000000"/>
          <w:sz w:val="21"/>
          <w:szCs w:val="21"/>
        </w:rPr>
        <w:t>广西北部湾银行</w:t>
      </w:r>
      <w:r>
        <w:rPr>
          <w:rFonts w:hint="eastAsia" w:ascii="方正仿宋_GBK" w:hAnsi="方正仿宋_GBK" w:eastAsia="方正仿宋_GBK" w:cs="方正仿宋_GBK"/>
          <w:color w:val="000000"/>
          <w:sz w:val="21"/>
          <w:szCs w:val="21"/>
          <w:lang w:eastAsia="zh-CN"/>
        </w:rPr>
        <w:t>2023年度</w:t>
      </w:r>
      <w:r>
        <w:rPr>
          <w:rFonts w:hint="eastAsia" w:ascii="方正仿宋_GBK" w:hAnsi="方正仿宋_GBK" w:eastAsia="方正仿宋_GBK" w:cs="方正仿宋_GBK"/>
          <w:color w:val="000000"/>
          <w:sz w:val="21"/>
          <w:szCs w:val="21"/>
        </w:rPr>
        <w:t>理财业务</w:t>
      </w:r>
      <w:r>
        <w:rPr>
          <w:rFonts w:hint="eastAsia" w:ascii="方正仿宋_GBK" w:hAnsi="方正仿宋_GBK" w:eastAsia="方正仿宋_GBK" w:cs="方正仿宋_GBK"/>
          <w:bCs/>
          <w:color w:val="000000"/>
          <w:sz w:val="21"/>
          <w:szCs w:val="21"/>
          <w:lang w:eastAsia="zh-CN"/>
        </w:rPr>
        <w:t>及理财产品</w:t>
      </w:r>
      <w:r>
        <w:rPr>
          <w:rFonts w:hint="eastAsia" w:ascii="方正仿宋_GBK" w:hAnsi="方正仿宋_GBK" w:eastAsia="方正仿宋_GBK" w:cs="方正仿宋_GBK"/>
          <w:color w:val="000000"/>
          <w:sz w:val="21"/>
          <w:szCs w:val="21"/>
        </w:rPr>
        <w:t>审计项目</w:t>
      </w:r>
      <w:r>
        <w:rPr>
          <w:rFonts w:hint="eastAsia" w:ascii="方正仿宋_GBK" w:hAnsi="方正仿宋_GBK" w:eastAsia="方正仿宋_GBK" w:cs="方正仿宋_GBK"/>
          <w:color w:val="000000"/>
          <w:sz w:val="21"/>
          <w:szCs w:val="21"/>
          <w:lang w:eastAsia="zh-CN"/>
        </w:rPr>
        <w:t>专项</w:t>
      </w:r>
      <w:r>
        <w:rPr>
          <w:rFonts w:hint="eastAsia" w:ascii="方正仿宋_GBK" w:hAnsi="方正仿宋_GBK" w:eastAsia="方正仿宋_GBK" w:cs="方正仿宋_GBK"/>
          <w:color w:val="000000"/>
          <w:sz w:val="21"/>
          <w:szCs w:val="21"/>
        </w:rPr>
        <w:t>审计机构，乙方被甲方聘用期间将直接或间接获知甲方的</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，且该</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为甲方所有。</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根据《中华人民共和国</w:t>
      </w:r>
      <w:r>
        <w:rPr>
          <w:rFonts w:hint="eastAsia" w:ascii="方正仿宋_GBK" w:hAnsi="方正仿宋_GBK" w:eastAsia="方正仿宋_GBK" w:cs="方正仿宋_GBK"/>
          <w:color w:val="000000"/>
          <w:sz w:val="21"/>
          <w:szCs w:val="21"/>
          <w:lang w:eastAsia="zh-CN"/>
        </w:rPr>
        <w:t>民法典</w:t>
      </w:r>
      <w:r>
        <w:rPr>
          <w:rFonts w:hint="eastAsia" w:ascii="方正仿宋_GBK" w:hAnsi="方正仿宋_GBK" w:eastAsia="方正仿宋_GBK" w:cs="方正仿宋_GBK"/>
          <w:color w:val="000000"/>
          <w:sz w:val="21"/>
          <w:szCs w:val="21"/>
        </w:rPr>
        <w:t>》、《中华人民共和国反不当竞争法》及国家有关规定，甲、乙双方本着平等、自愿、公平和诚实信用的原则达成保密协议。如下：</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一、保密的范围和内容</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保密范围和内容包括双方签订的业务合同，甲方或其代表以书面、口头或其他方式向乙方披露的任何信息，包括但不限于</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1）甲方以口头或者其他形式，向乙方提供的有关甲方或本项目的一切非公开的文件及其他资料；（2）对乙方或其代表人员制作的包含或有关上述资料的书面备忘录、笔记、分析、报告、汇编和研究资料等；（3）上述资料的全部复制件或录音资料等；（4）甲方向乙方提供的不被公众所知的其他文件资料和信息。</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二、</w:t>
      </w:r>
      <w:r>
        <w:rPr>
          <w:rFonts w:hint="eastAsia" w:ascii="方正仿宋_GBK" w:hAnsi="方正仿宋_GBK" w:eastAsia="方正仿宋_GBK" w:cs="方正仿宋_GBK"/>
          <w:color w:val="000000"/>
          <w:sz w:val="21"/>
          <w:szCs w:val="21"/>
          <w:lang w:eastAsia="zh-CN"/>
        </w:rPr>
        <w:t>信息</w:t>
      </w:r>
      <w:r>
        <w:rPr>
          <w:rFonts w:hint="eastAsia" w:ascii="方正仿宋_GBK" w:hAnsi="方正仿宋_GBK" w:eastAsia="方正仿宋_GBK" w:cs="方正仿宋_GBK"/>
          <w:color w:val="000000"/>
          <w:sz w:val="21"/>
          <w:szCs w:val="21"/>
        </w:rPr>
        <w:t>来源</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乙方从甲方获取的与工作有关或工作关系产生的任何商业、营销、技术、营运或其他信息的资料，无论以何种形式、何种载体，无论在披露时是否以口头、图像或书面方式表明具有保密性。</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三、保密义务</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甲乙双方终止合同关系前或双方终止（或解除）本协议后，针对甲方的</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，乙方在此承诺并保证：</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1.严守甲方的</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和本协议约定，并采取所有保密措施，保护该秘密。</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lang w:val="en-GB"/>
        </w:rPr>
      </w:pPr>
      <w:r>
        <w:rPr>
          <w:rFonts w:hint="eastAsia" w:ascii="方正仿宋_GBK" w:hAnsi="方正仿宋_GBK" w:eastAsia="方正仿宋_GBK" w:cs="方正仿宋_GBK"/>
          <w:color w:val="000000"/>
          <w:sz w:val="21"/>
          <w:szCs w:val="21"/>
        </w:rPr>
        <w:t>2.不泄露任何</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给任何第三者，包括乙方的境内外母公司、子公司或分公司。</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3.任何时候均不得利用该</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4.不得复制或通过反向工程使用该</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四、返还信息</w:t>
      </w:r>
    </w:p>
    <w:p>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baseline"/>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审计工作实施完成后，乙方应立即</w:t>
      </w:r>
      <w:r>
        <w:rPr>
          <w:rFonts w:hint="eastAsia" w:ascii="方正仿宋_GBK" w:hAnsi="方正仿宋_GBK" w:eastAsia="方正仿宋_GBK" w:cs="方正仿宋_GBK"/>
          <w:color w:val="000000"/>
          <w:kern w:val="0"/>
          <w:sz w:val="21"/>
          <w:szCs w:val="21"/>
          <w:lang w:val="en-US" w:eastAsia="zh-CN"/>
        </w:rPr>
        <w:t>向甲方归还甲方向乙方提供的有关甲方或本项目一切非公开的文件及其他资料</w:t>
      </w:r>
      <w:r>
        <w:rPr>
          <w:rFonts w:hint="eastAsia" w:ascii="方正仿宋_GBK" w:hAnsi="方正仿宋_GBK" w:eastAsia="方正仿宋_GBK" w:cs="方正仿宋_GBK"/>
          <w:color w:val="000000"/>
          <w:sz w:val="21"/>
          <w:szCs w:val="21"/>
        </w:rPr>
        <w:t>。如果该技术资料属于不能归还的形式或已经复制或转录到其他资料或载体中，应立即删除。</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五、保密期限及违约责任</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保密义务</w:t>
      </w:r>
      <w:r>
        <w:rPr>
          <w:rFonts w:hint="eastAsia" w:ascii="方正仿宋_GBK" w:hAnsi="方正仿宋_GBK" w:eastAsia="方正仿宋_GBK" w:cs="方正仿宋_GBK"/>
          <w:color w:val="000000"/>
          <w:sz w:val="21"/>
          <w:szCs w:val="21"/>
          <w:lang w:val="en-US" w:eastAsia="zh-CN"/>
        </w:rPr>
        <w:t>十年</w:t>
      </w:r>
      <w:r>
        <w:rPr>
          <w:rFonts w:hint="eastAsia" w:ascii="方正仿宋_GBK" w:hAnsi="方正仿宋_GBK" w:eastAsia="方正仿宋_GBK" w:cs="方正仿宋_GBK"/>
          <w:color w:val="000000"/>
          <w:sz w:val="21"/>
          <w:szCs w:val="21"/>
          <w:lang w:eastAsia="zh-CN"/>
        </w:rPr>
        <w:t>有效。</w:t>
      </w:r>
      <w:r>
        <w:rPr>
          <w:rFonts w:hint="eastAsia" w:ascii="方正仿宋_GBK" w:hAnsi="方正仿宋_GBK" w:eastAsia="方正仿宋_GBK" w:cs="方正仿宋_GBK"/>
          <w:color w:val="000000"/>
          <w:sz w:val="21"/>
          <w:szCs w:val="21"/>
        </w:rPr>
        <w:t>甲乙双方终止合同关系前或双方终止（或解除）合同后，无论任何时候，乙方均不得将甲方的</w:t>
      </w:r>
      <w:r>
        <w:rPr>
          <w:rFonts w:hint="eastAsia" w:ascii="方正仿宋_GBK" w:hAnsi="方正仿宋_GBK" w:eastAsia="方正仿宋_GBK" w:cs="方正仿宋_GBK"/>
          <w:color w:val="000000"/>
          <w:sz w:val="21"/>
          <w:szCs w:val="21"/>
          <w:lang w:eastAsia="zh-CN"/>
        </w:rPr>
        <w:t>保密信息</w:t>
      </w:r>
      <w:r>
        <w:rPr>
          <w:rFonts w:hint="eastAsia" w:ascii="方正仿宋_GBK" w:hAnsi="方正仿宋_GBK" w:eastAsia="方正仿宋_GBK" w:cs="方正仿宋_GBK"/>
          <w:color w:val="000000"/>
          <w:sz w:val="21"/>
          <w:szCs w:val="21"/>
        </w:rPr>
        <w:t>直接或间接提供给任何单位或个人，法律规定的除外。否则，乙方承担一切责任，并赔偿</w:t>
      </w:r>
      <w:r>
        <w:rPr>
          <w:rFonts w:hint="eastAsia" w:ascii="方正仿宋_GBK" w:hAnsi="方正仿宋_GBK" w:eastAsia="方正仿宋_GBK" w:cs="方正仿宋_GBK"/>
          <w:color w:val="000000"/>
          <w:sz w:val="21"/>
          <w:szCs w:val="21"/>
          <w:lang w:eastAsia="zh-CN"/>
        </w:rPr>
        <w:t>甲方的</w:t>
      </w:r>
      <w:r>
        <w:rPr>
          <w:rFonts w:hint="eastAsia" w:ascii="方正仿宋_GBK" w:hAnsi="方正仿宋_GBK" w:eastAsia="方正仿宋_GBK" w:cs="方正仿宋_GBK"/>
          <w:color w:val="000000"/>
          <w:sz w:val="21"/>
          <w:szCs w:val="21"/>
        </w:rPr>
        <w:t>一切</w:t>
      </w:r>
      <w:r>
        <w:rPr>
          <w:rFonts w:hint="eastAsia" w:ascii="方正仿宋_GBK" w:hAnsi="方正仿宋_GBK" w:eastAsia="方正仿宋_GBK" w:cs="方正仿宋_GBK"/>
          <w:color w:val="000000"/>
          <w:sz w:val="21"/>
          <w:szCs w:val="21"/>
          <w:lang w:val="en-US" w:eastAsia="zh-CN"/>
        </w:rPr>
        <w:t>直接经济</w:t>
      </w:r>
      <w:r>
        <w:rPr>
          <w:rFonts w:hint="eastAsia" w:ascii="方正仿宋_GBK" w:hAnsi="方正仿宋_GBK" w:eastAsia="方正仿宋_GBK" w:cs="方正仿宋_GBK"/>
          <w:color w:val="000000"/>
          <w:sz w:val="21"/>
          <w:szCs w:val="21"/>
        </w:rPr>
        <w:t>损失。</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六、保密协议的效力和变更</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1.本协议自双方代表签字和盖章后生效。</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2.本协议的任何修改必须经过双方的书面同意。</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3.本协议的所有方面均应适用中华人民共和国法律进行解释并受其约束。本协议履行地为甲方所在地，因本协议所引起的或与本协议有关的任何纠纷或争议（包括关于本协议条款的存在、效力或终止，或无效之后果），双方协商确定采取向</w:t>
      </w:r>
      <w:r>
        <w:rPr>
          <w:rFonts w:hint="eastAsia" w:ascii="方正仿宋_GBK" w:hAnsi="方正仿宋_GBK" w:eastAsia="方正仿宋_GBK" w:cs="方正仿宋_GBK"/>
          <w:color w:val="000000"/>
          <w:kern w:val="0"/>
          <w:sz w:val="21"/>
          <w:szCs w:val="21"/>
          <w:lang w:val="en-US" w:eastAsia="zh-CN"/>
        </w:rPr>
        <w:t>原告</w:t>
      </w:r>
      <w:r>
        <w:rPr>
          <w:rFonts w:hint="eastAsia" w:ascii="方正仿宋_GBK" w:hAnsi="方正仿宋_GBK" w:eastAsia="方正仿宋_GBK" w:cs="方正仿宋_GBK"/>
          <w:color w:val="000000"/>
          <w:kern w:val="0"/>
          <w:sz w:val="21"/>
          <w:szCs w:val="21"/>
        </w:rPr>
        <w:t>所在地人民法院提起诉讼方式予以解决。 </w:t>
      </w:r>
    </w:p>
    <w:p>
      <w:pPr>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七、本协议一式贰份，甲乙双方各执</w:t>
      </w:r>
      <w:r>
        <w:rPr>
          <w:rFonts w:hint="eastAsia" w:ascii="方正仿宋_GBK" w:hAnsi="方正仿宋_GBK" w:eastAsia="方正仿宋_GBK" w:cs="方正仿宋_GBK"/>
          <w:color w:val="000000"/>
          <w:sz w:val="21"/>
          <w:szCs w:val="21"/>
          <w:lang w:val="en-US" w:eastAsia="zh-CN"/>
        </w:rPr>
        <w:t>壹</w:t>
      </w:r>
      <w:r>
        <w:rPr>
          <w:rFonts w:hint="eastAsia" w:ascii="方正仿宋_GBK" w:hAnsi="方正仿宋_GBK" w:eastAsia="方正仿宋_GBK" w:cs="方正仿宋_GBK"/>
          <w:color w:val="000000"/>
          <w:sz w:val="21"/>
          <w:szCs w:val="21"/>
        </w:rPr>
        <w:t>份，具有同等法律效力</w:t>
      </w:r>
      <w:r>
        <w:rPr>
          <w:rFonts w:hint="eastAsia" w:ascii="方正仿宋_GBK" w:hAnsi="方正仿宋_GBK" w:eastAsia="方正仿宋_GBK" w:cs="方正仿宋_GBK"/>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br w:type="page"/>
      </w:r>
      <w:r>
        <w:rPr>
          <w:rFonts w:hint="eastAsia" w:ascii="方正仿宋_GBK" w:hAnsi="方正仿宋_GBK" w:eastAsia="方正仿宋_GBK" w:cs="方正仿宋_GBK"/>
          <w:color w:val="000000"/>
          <w:kern w:val="0"/>
          <w:sz w:val="21"/>
          <w:szCs w:val="21"/>
        </w:rPr>
        <w:t>（此页无正文）</w:t>
      </w:r>
    </w:p>
    <w:p>
      <w:pPr>
        <w:widowControl/>
        <w:spacing w:line="620" w:lineRule="exact"/>
        <w:textAlignment w:val="baseline"/>
        <w:rPr>
          <w:rFonts w:hint="eastAsia" w:ascii="方正仿宋_GBK" w:hAnsi="方正仿宋_GBK" w:eastAsia="方正仿宋_GBK" w:cs="方正仿宋_GBK"/>
          <w:color w:val="000000"/>
          <w:kern w:val="0"/>
          <w:sz w:val="21"/>
          <w:szCs w:val="21"/>
        </w:rPr>
      </w:pPr>
    </w:p>
    <w:tbl>
      <w:tblPr>
        <w:tblStyle w:val="43"/>
        <w:tblW w:w="9727" w:type="dxa"/>
        <w:jc w:val="center"/>
        <w:tblLayout w:type="fixed"/>
        <w:tblCellMar>
          <w:top w:w="0" w:type="dxa"/>
          <w:left w:w="108" w:type="dxa"/>
          <w:bottom w:w="0" w:type="dxa"/>
          <w:right w:w="108" w:type="dxa"/>
        </w:tblCellMar>
      </w:tblPr>
      <w:tblGrid>
        <w:gridCol w:w="4683"/>
        <w:gridCol w:w="5044"/>
      </w:tblGrid>
      <w:tr>
        <w:tblPrEx>
          <w:tblCellMar>
            <w:top w:w="0" w:type="dxa"/>
            <w:left w:w="108" w:type="dxa"/>
            <w:bottom w:w="0" w:type="dxa"/>
            <w:right w:w="108" w:type="dxa"/>
          </w:tblCellMar>
        </w:tblPrEx>
        <w:trPr>
          <w:trHeight w:val="672" w:hRule="atLeast"/>
          <w:jc w:val="center"/>
        </w:trPr>
        <w:tc>
          <w:tcPr>
            <w:tcW w:w="4683" w:type="dxa"/>
            <w:vAlign w:val="top"/>
          </w:tcPr>
          <w:p>
            <w:pPr>
              <w:spacing w:line="620" w:lineRule="exact"/>
              <w:ind w:left="960" w:hanging="630" w:hangingChars="3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 xml:space="preserve">甲方：广西北部湾银行股份有限公司（公章）  </w:t>
            </w:r>
          </w:p>
          <w:p>
            <w:pPr>
              <w:spacing w:line="620" w:lineRule="exact"/>
              <w:ind w:left="960" w:hanging="630" w:hangingChars="3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 xml:space="preserve">                    </w:t>
            </w:r>
          </w:p>
          <w:p>
            <w:pPr>
              <w:spacing w:line="620" w:lineRule="exact"/>
              <w:ind w:left="960" w:hanging="630" w:hangingChars="300"/>
              <w:rPr>
                <w:rFonts w:hint="eastAsia" w:ascii="方正仿宋_GBK" w:hAnsi="方正仿宋_GBK" w:eastAsia="方正仿宋_GBK" w:cs="方正仿宋_GBK"/>
                <w:color w:val="000000"/>
                <w:sz w:val="21"/>
                <w:szCs w:val="21"/>
              </w:rPr>
            </w:pPr>
          </w:p>
        </w:tc>
        <w:tc>
          <w:tcPr>
            <w:tcW w:w="5044" w:type="dxa"/>
            <w:vAlign w:val="top"/>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2"/>
                <w:sz w:val="21"/>
                <w:szCs w:val="21"/>
              </w:rPr>
              <w:t>乙方：</w:t>
            </w:r>
          </w:p>
          <w:p>
            <w:pPr>
              <w:spacing w:line="620" w:lineRule="exact"/>
              <w:ind w:left="1120" w:hanging="735" w:hangingChars="350"/>
              <w:rPr>
                <w:rFonts w:hint="eastAsia" w:ascii="方正仿宋_GBK" w:hAnsi="方正仿宋_GBK" w:eastAsia="方正仿宋_GBK" w:cs="方正仿宋_GBK"/>
                <w:color w:val="000000"/>
                <w:kern w:val="2"/>
                <w:sz w:val="21"/>
                <w:szCs w:val="21"/>
              </w:rPr>
            </w:pPr>
          </w:p>
          <w:p>
            <w:pPr>
              <w:spacing w:line="620" w:lineRule="exact"/>
              <w:ind w:left="1120" w:hanging="735" w:hangingChars="350"/>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rPr>
              <w:t>（特殊普通合伙）</w:t>
            </w:r>
          </w:p>
          <w:p>
            <w:pPr>
              <w:spacing w:line="620" w:lineRule="exact"/>
              <w:ind w:left="1120" w:hanging="735" w:hangingChars="350"/>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576" w:hRule="atLeast"/>
          <w:jc w:val="center"/>
        </w:trPr>
        <w:tc>
          <w:tcPr>
            <w:tcW w:w="4683" w:type="dxa"/>
            <w:vAlign w:val="top"/>
          </w:tcPr>
          <w:p>
            <w:pPr>
              <w:spacing w:line="62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授权代表：（签字）</w:t>
            </w:r>
          </w:p>
          <w:p>
            <w:pPr>
              <w:spacing w:line="620" w:lineRule="exact"/>
              <w:rPr>
                <w:rFonts w:hint="eastAsia" w:ascii="方正仿宋_GBK" w:hAnsi="方正仿宋_GBK" w:eastAsia="方正仿宋_GBK" w:cs="方正仿宋_GBK"/>
                <w:color w:val="000000"/>
                <w:sz w:val="21"/>
                <w:szCs w:val="21"/>
              </w:rPr>
            </w:pPr>
          </w:p>
          <w:p>
            <w:pPr>
              <w:spacing w:line="620" w:lineRule="exact"/>
              <w:rPr>
                <w:rFonts w:hint="eastAsia" w:ascii="方正仿宋_GBK" w:hAnsi="方正仿宋_GBK" w:eastAsia="方正仿宋_GBK" w:cs="方正仿宋_GBK"/>
                <w:color w:val="000000"/>
                <w:sz w:val="21"/>
                <w:szCs w:val="21"/>
              </w:rPr>
            </w:pPr>
          </w:p>
        </w:tc>
        <w:tc>
          <w:tcPr>
            <w:tcW w:w="5044" w:type="dxa"/>
            <w:vAlign w:val="top"/>
          </w:tcPr>
          <w:p>
            <w:pPr>
              <w:spacing w:line="620" w:lineRule="exact"/>
              <w:ind w:firstLine="210" w:firstLineChars="1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授权代表：（签字）</w:t>
            </w:r>
          </w:p>
          <w:p>
            <w:pPr>
              <w:spacing w:line="620" w:lineRule="exact"/>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590" w:hRule="atLeast"/>
          <w:jc w:val="center"/>
        </w:trPr>
        <w:tc>
          <w:tcPr>
            <w:tcW w:w="4683" w:type="dxa"/>
            <w:vAlign w:val="top"/>
          </w:tcPr>
          <w:p>
            <w:pPr>
              <w:spacing w:line="62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签订时间：  　年   月   日</w:t>
            </w:r>
          </w:p>
        </w:tc>
        <w:tc>
          <w:tcPr>
            <w:tcW w:w="5044" w:type="dxa"/>
            <w:vAlign w:val="top"/>
          </w:tcPr>
          <w:p>
            <w:pPr>
              <w:spacing w:line="620" w:lineRule="exact"/>
              <w:ind w:firstLine="210" w:firstLineChars="10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签订时间：    年   月   日</w:t>
            </w:r>
          </w:p>
        </w:tc>
      </w:tr>
    </w:tbl>
    <w:p>
      <w:pPr>
        <w:spacing w:line="620" w:lineRule="exact"/>
        <w:rPr>
          <w:rFonts w:ascii="仿宋_GB2312" w:hAnsi="Tahoma" w:eastAsia="仿宋_GB2312" w:cs="Tahoma"/>
          <w:color w:val="000000"/>
          <w:sz w:val="32"/>
          <w:szCs w:val="32"/>
        </w:rPr>
      </w:pPr>
    </w:p>
    <w:p>
      <w:pPr>
        <w:rPr>
          <w:rFonts w:hint="eastAsia" w:eastAsia="宋体"/>
          <w:lang w:val="en-US" w:eastAsia="zh-CN"/>
        </w:rPr>
      </w:pPr>
    </w:p>
    <w:p>
      <w:pPr>
        <w:rPr>
          <w:lang w:val="en-US" w:eastAsia="zh-CN"/>
        </w:rPr>
      </w:pPr>
    </w:p>
    <w:sectPr>
      <w:pgSz w:w="11906" w:h="16838"/>
      <w:pgMar w:top="1304" w:right="1133" w:bottom="1304" w:left="1134" w:header="720" w:footer="72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046782"/>
    </w:sdtPr>
    <w:sdtContent>
      <w:p>
        <w:pPr>
          <w:pStyle w:val="27"/>
          <w:jc w:val="center"/>
        </w:pPr>
        <w:r>
          <w:fldChar w:fldCharType="begin"/>
        </w:r>
        <w:r>
          <w:instrText xml:space="preserve">PAGE   \* MERGEFORMAT</w:instrText>
        </w:r>
        <w:r>
          <w:fldChar w:fldCharType="separate"/>
        </w:r>
        <w:r>
          <w:rPr>
            <w:lang w:val="zh-CN"/>
          </w:rPr>
          <w:t>19</w:t>
        </w:r>
        <w:r>
          <w:fldChar w:fldCharType="end"/>
        </w:r>
      </w:p>
    </w:sdtContent>
  </w:sdt>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1</w:t>
    </w:r>
  </w:p>
  <w:p>
    <w:pPr>
      <w:pStyle w:val="2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235A9"/>
    <w:multiLevelType w:val="singleLevel"/>
    <w:tmpl w:val="962235A9"/>
    <w:lvl w:ilvl="0" w:tentative="0">
      <w:start w:val="1"/>
      <w:numFmt w:val="decimal"/>
      <w:pStyle w:val="54"/>
      <w:lvlText w:val="%1."/>
      <w:lvlJc w:val="left"/>
      <w:pPr>
        <w:ind w:left="425" w:hanging="425"/>
      </w:pPr>
      <w:rPr>
        <w:rFonts w:hint="default"/>
      </w:rPr>
    </w:lvl>
  </w:abstractNum>
  <w:abstractNum w:abstractNumId="1">
    <w:nsid w:val="40874DB7"/>
    <w:multiLevelType w:val="singleLevel"/>
    <w:tmpl w:val="40874DB7"/>
    <w:lvl w:ilvl="0" w:tentative="0">
      <w:start w:val="1"/>
      <w:numFmt w:val="decimal"/>
      <w:pStyle w:val="181"/>
      <w:lvlText w:val="%1."/>
      <w:lvlJc w:val="left"/>
      <w:pPr>
        <w:tabs>
          <w:tab w:val="left" w:pos="360"/>
        </w:tabs>
        <w:ind w:left="360" w:hanging="360"/>
      </w:pPr>
    </w:lvl>
  </w:abstractNum>
  <w:abstractNum w:abstractNumId="2">
    <w:nsid w:val="46D9A716"/>
    <w:multiLevelType w:val="singleLevel"/>
    <w:tmpl w:val="46D9A716"/>
    <w:lvl w:ilvl="0" w:tentative="0">
      <w:start w:val="1"/>
      <w:numFmt w:val="decimal"/>
      <w:lvlText w:val="%1."/>
      <w:lvlJc w:val="left"/>
      <w:pPr>
        <w:tabs>
          <w:tab w:val="left" w:pos="312"/>
        </w:tabs>
      </w:pPr>
    </w:lvl>
  </w:abstractNum>
  <w:abstractNum w:abstractNumId="3">
    <w:nsid w:val="5584723E"/>
    <w:multiLevelType w:val="multilevel"/>
    <w:tmpl w:val="5584723E"/>
    <w:lvl w:ilvl="0" w:tentative="0">
      <w:start w:val="1"/>
      <w:numFmt w:val="decimal"/>
      <w:lvlText w:val="%1."/>
      <w:lvlJc w:val="left"/>
      <w:pPr>
        <w:ind w:left="842" w:hanging="241"/>
      </w:pPr>
      <w:rPr>
        <w:rFonts w:hint="default" w:ascii="宋体" w:hAnsi="宋体" w:eastAsia="宋体" w:cs="宋体"/>
        <w:w w:val="100"/>
        <w:sz w:val="24"/>
        <w:szCs w:val="24"/>
        <w:lang w:val="zh-CN" w:eastAsia="zh-CN" w:bidi="zh-CN"/>
      </w:rPr>
    </w:lvl>
    <w:lvl w:ilvl="1" w:tentative="0">
      <w:start w:val="0"/>
      <w:numFmt w:val="bullet"/>
      <w:lvlText w:val="•"/>
      <w:lvlJc w:val="left"/>
      <w:pPr>
        <w:ind w:left="1634" w:hanging="241"/>
      </w:pPr>
      <w:rPr>
        <w:rFonts w:hint="default"/>
        <w:lang w:val="zh-CN" w:eastAsia="zh-CN" w:bidi="zh-CN"/>
      </w:rPr>
    </w:lvl>
    <w:lvl w:ilvl="2" w:tentative="0">
      <w:start w:val="0"/>
      <w:numFmt w:val="bullet"/>
      <w:lvlText w:val="•"/>
      <w:lvlJc w:val="left"/>
      <w:pPr>
        <w:ind w:left="2428" w:hanging="241"/>
      </w:pPr>
      <w:rPr>
        <w:rFonts w:hint="default"/>
        <w:lang w:val="zh-CN" w:eastAsia="zh-CN" w:bidi="zh-CN"/>
      </w:rPr>
    </w:lvl>
    <w:lvl w:ilvl="3" w:tentative="0">
      <w:start w:val="0"/>
      <w:numFmt w:val="bullet"/>
      <w:lvlText w:val="•"/>
      <w:lvlJc w:val="left"/>
      <w:pPr>
        <w:ind w:left="3223" w:hanging="241"/>
      </w:pPr>
      <w:rPr>
        <w:rFonts w:hint="default"/>
        <w:lang w:val="zh-CN" w:eastAsia="zh-CN" w:bidi="zh-CN"/>
      </w:rPr>
    </w:lvl>
    <w:lvl w:ilvl="4" w:tentative="0">
      <w:start w:val="0"/>
      <w:numFmt w:val="bullet"/>
      <w:lvlText w:val="•"/>
      <w:lvlJc w:val="left"/>
      <w:pPr>
        <w:ind w:left="4017" w:hanging="241"/>
      </w:pPr>
      <w:rPr>
        <w:rFonts w:hint="default"/>
        <w:lang w:val="zh-CN" w:eastAsia="zh-CN" w:bidi="zh-CN"/>
      </w:rPr>
    </w:lvl>
    <w:lvl w:ilvl="5" w:tentative="0">
      <w:start w:val="0"/>
      <w:numFmt w:val="bullet"/>
      <w:lvlText w:val="•"/>
      <w:lvlJc w:val="left"/>
      <w:pPr>
        <w:ind w:left="4812" w:hanging="241"/>
      </w:pPr>
      <w:rPr>
        <w:rFonts w:hint="default"/>
        <w:lang w:val="zh-CN" w:eastAsia="zh-CN" w:bidi="zh-CN"/>
      </w:rPr>
    </w:lvl>
    <w:lvl w:ilvl="6" w:tentative="0">
      <w:start w:val="0"/>
      <w:numFmt w:val="bullet"/>
      <w:lvlText w:val="•"/>
      <w:lvlJc w:val="left"/>
      <w:pPr>
        <w:ind w:left="5606" w:hanging="241"/>
      </w:pPr>
      <w:rPr>
        <w:rFonts w:hint="default"/>
        <w:lang w:val="zh-CN" w:eastAsia="zh-CN" w:bidi="zh-CN"/>
      </w:rPr>
    </w:lvl>
    <w:lvl w:ilvl="7" w:tentative="0">
      <w:start w:val="0"/>
      <w:numFmt w:val="bullet"/>
      <w:lvlText w:val="•"/>
      <w:lvlJc w:val="left"/>
      <w:pPr>
        <w:ind w:left="6400" w:hanging="241"/>
      </w:pPr>
      <w:rPr>
        <w:rFonts w:hint="default"/>
        <w:lang w:val="zh-CN" w:eastAsia="zh-CN" w:bidi="zh-CN"/>
      </w:rPr>
    </w:lvl>
    <w:lvl w:ilvl="8" w:tentative="0">
      <w:start w:val="0"/>
      <w:numFmt w:val="bullet"/>
      <w:lvlText w:val="•"/>
      <w:lvlJc w:val="left"/>
      <w:pPr>
        <w:ind w:left="7195" w:hanging="241"/>
      </w:pPr>
      <w:rPr>
        <w:rFonts w:hint="default"/>
        <w:lang w:val="zh-CN" w:eastAsia="zh-CN" w:bidi="zh-C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NjNhMzNmMmRjZTE1ZGIxMDkxMGI3MGQxYzZjODMifQ=="/>
  </w:docVars>
  <w:rsids>
    <w:rsidRoot w:val="00172A27"/>
    <w:rsid w:val="00000A20"/>
    <w:rsid w:val="000014AF"/>
    <w:rsid w:val="000047E9"/>
    <w:rsid w:val="00004F01"/>
    <w:rsid w:val="0000538E"/>
    <w:rsid w:val="00005660"/>
    <w:rsid w:val="000059B6"/>
    <w:rsid w:val="000074A6"/>
    <w:rsid w:val="000101B1"/>
    <w:rsid w:val="00010685"/>
    <w:rsid w:val="000110EB"/>
    <w:rsid w:val="00011561"/>
    <w:rsid w:val="0001160F"/>
    <w:rsid w:val="0001295D"/>
    <w:rsid w:val="00013399"/>
    <w:rsid w:val="0001361A"/>
    <w:rsid w:val="00014617"/>
    <w:rsid w:val="00014E21"/>
    <w:rsid w:val="00014FBE"/>
    <w:rsid w:val="000151EC"/>
    <w:rsid w:val="00015ADE"/>
    <w:rsid w:val="00015C92"/>
    <w:rsid w:val="0002071F"/>
    <w:rsid w:val="00020DB0"/>
    <w:rsid w:val="00021EE3"/>
    <w:rsid w:val="00022545"/>
    <w:rsid w:val="00022D34"/>
    <w:rsid w:val="000234CD"/>
    <w:rsid w:val="00023C95"/>
    <w:rsid w:val="00024D1D"/>
    <w:rsid w:val="000264F1"/>
    <w:rsid w:val="00027081"/>
    <w:rsid w:val="00027E0F"/>
    <w:rsid w:val="00027F11"/>
    <w:rsid w:val="000301E6"/>
    <w:rsid w:val="000304CE"/>
    <w:rsid w:val="00030FBD"/>
    <w:rsid w:val="000311F8"/>
    <w:rsid w:val="00031769"/>
    <w:rsid w:val="000318DD"/>
    <w:rsid w:val="00031B55"/>
    <w:rsid w:val="000333A5"/>
    <w:rsid w:val="00033544"/>
    <w:rsid w:val="00033844"/>
    <w:rsid w:val="000366D5"/>
    <w:rsid w:val="00036FDC"/>
    <w:rsid w:val="0003780E"/>
    <w:rsid w:val="00037AB3"/>
    <w:rsid w:val="000405A3"/>
    <w:rsid w:val="00040A09"/>
    <w:rsid w:val="0004187C"/>
    <w:rsid w:val="00041BCB"/>
    <w:rsid w:val="000421E8"/>
    <w:rsid w:val="000426C5"/>
    <w:rsid w:val="000428B7"/>
    <w:rsid w:val="00042946"/>
    <w:rsid w:val="00042E98"/>
    <w:rsid w:val="000449BD"/>
    <w:rsid w:val="00046CFA"/>
    <w:rsid w:val="000477E0"/>
    <w:rsid w:val="00050381"/>
    <w:rsid w:val="00050B60"/>
    <w:rsid w:val="00050B88"/>
    <w:rsid w:val="00050C71"/>
    <w:rsid w:val="00051881"/>
    <w:rsid w:val="00051D5A"/>
    <w:rsid w:val="00051E19"/>
    <w:rsid w:val="00051F17"/>
    <w:rsid w:val="00053E60"/>
    <w:rsid w:val="00054169"/>
    <w:rsid w:val="000549A2"/>
    <w:rsid w:val="00054B65"/>
    <w:rsid w:val="00054F7E"/>
    <w:rsid w:val="00055AE2"/>
    <w:rsid w:val="00057720"/>
    <w:rsid w:val="00057A91"/>
    <w:rsid w:val="00057D60"/>
    <w:rsid w:val="00060F2A"/>
    <w:rsid w:val="000619C7"/>
    <w:rsid w:val="00061DFC"/>
    <w:rsid w:val="000621CF"/>
    <w:rsid w:val="00062450"/>
    <w:rsid w:val="0006299E"/>
    <w:rsid w:val="00063AAE"/>
    <w:rsid w:val="00063CF8"/>
    <w:rsid w:val="00064380"/>
    <w:rsid w:val="0006607E"/>
    <w:rsid w:val="000666E5"/>
    <w:rsid w:val="00066F7B"/>
    <w:rsid w:val="000674CF"/>
    <w:rsid w:val="000702E6"/>
    <w:rsid w:val="0007037C"/>
    <w:rsid w:val="00070C70"/>
    <w:rsid w:val="00071364"/>
    <w:rsid w:val="00071ADB"/>
    <w:rsid w:val="00071C4E"/>
    <w:rsid w:val="00072400"/>
    <w:rsid w:val="00072C60"/>
    <w:rsid w:val="00072DBA"/>
    <w:rsid w:val="00072DBD"/>
    <w:rsid w:val="00072F95"/>
    <w:rsid w:val="00073E70"/>
    <w:rsid w:val="00074B34"/>
    <w:rsid w:val="000760E0"/>
    <w:rsid w:val="000761AF"/>
    <w:rsid w:val="00076850"/>
    <w:rsid w:val="00076A45"/>
    <w:rsid w:val="00076F76"/>
    <w:rsid w:val="00077A1D"/>
    <w:rsid w:val="00081F77"/>
    <w:rsid w:val="00083AEE"/>
    <w:rsid w:val="00083DAA"/>
    <w:rsid w:val="00084500"/>
    <w:rsid w:val="00084DB5"/>
    <w:rsid w:val="00084DDD"/>
    <w:rsid w:val="000851E5"/>
    <w:rsid w:val="00085595"/>
    <w:rsid w:val="00085691"/>
    <w:rsid w:val="000869F7"/>
    <w:rsid w:val="00086EA8"/>
    <w:rsid w:val="00086F41"/>
    <w:rsid w:val="00087CB5"/>
    <w:rsid w:val="00087E10"/>
    <w:rsid w:val="00090E4A"/>
    <w:rsid w:val="000917F6"/>
    <w:rsid w:val="00091888"/>
    <w:rsid w:val="00091BCC"/>
    <w:rsid w:val="00091C74"/>
    <w:rsid w:val="00091CC8"/>
    <w:rsid w:val="0009201F"/>
    <w:rsid w:val="00092473"/>
    <w:rsid w:val="00092BA8"/>
    <w:rsid w:val="000931C1"/>
    <w:rsid w:val="0009452D"/>
    <w:rsid w:val="000945DF"/>
    <w:rsid w:val="00094783"/>
    <w:rsid w:val="00094840"/>
    <w:rsid w:val="00094931"/>
    <w:rsid w:val="00095B0F"/>
    <w:rsid w:val="00095CD2"/>
    <w:rsid w:val="00096617"/>
    <w:rsid w:val="00096716"/>
    <w:rsid w:val="00097EAB"/>
    <w:rsid w:val="000A0C14"/>
    <w:rsid w:val="000A1B0C"/>
    <w:rsid w:val="000A1E48"/>
    <w:rsid w:val="000A21D0"/>
    <w:rsid w:val="000A2560"/>
    <w:rsid w:val="000A2D1F"/>
    <w:rsid w:val="000A2E04"/>
    <w:rsid w:val="000A2E95"/>
    <w:rsid w:val="000A343B"/>
    <w:rsid w:val="000A4667"/>
    <w:rsid w:val="000A580C"/>
    <w:rsid w:val="000A6065"/>
    <w:rsid w:val="000A6B01"/>
    <w:rsid w:val="000A76CA"/>
    <w:rsid w:val="000B04F2"/>
    <w:rsid w:val="000B0BDE"/>
    <w:rsid w:val="000B109B"/>
    <w:rsid w:val="000B2371"/>
    <w:rsid w:val="000B35B4"/>
    <w:rsid w:val="000B36CC"/>
    <w:rsid w:val="000B375B"/>
    <w:rsid w:val="000B38E3"/>
    <w:rsid w:val="000B3FE3"/>
    <w:rsid w:val="000B52D8"/>
    <w:rsid w:val="000B5868"/>
    <w:rsid w:val="000B6A77"/>
    <w:rsid w:val="000B6B50"/>
    <w:rsid w:val="000B7346"/>
    <w:rsid w:val="000C0C57"/>
    <w:rsid w:val="000C1809"/>
    <w:rsid w:val="000C295E"/>
    <w:rsid w:val="000C2B9B"/>
    <w:rsid w:val="000C2C35"/>
    <w:rsid w:val="000C39AE"/>
    <w:rsid w:val="000C3A88"/>
    <w:rsid w:val="000C4BD9"/>
    <w:rsid w:val="000C5A96"/>
    <w:rsid w:val="000C5D13"/>
    <w:rsid w:val="000D021F"/>
    <w:rsid w:val="000D123E"/>
    <w:rsid w:val="000D29DC"/>
    <w:rsid w:val="000D3822"/>
    <w:rsid w:val="000D42EE"/>
    <w:rsid w:val="000D4669"/>
    <w:rsid w:val="000D4679"/>
    <w:rsid w:val="000D502E"/>
    <w:rsid w:val="000D5351"/>
    <w:rsid w:val="000D552F"/>
    <w:rsid w:val="000D6803"/>
    <w:rsid w:val="000D6FF7"/>
    <w:rsid w:val="000D7405"/>
    <w:rsid w:val="000D76B7"/>
    <w:rsid w:val="000D7FCA"/>
    <w:rsid w:val="000E01AE"/>
    <w:rsid w:val="000E04DD"/>
    <w:rsid w:val="000E0E85"/>
    <w:rsid w:val="000E174D"/>
    <w:rsid w:val="000E2121"/>
    <w:rsid w:val="000E5A05"/>
    <w:rsid w:val="000E5FCD"/>
    <w:rsid w:val="000E6E19"/>
    <w:rsid w:val="000E7693"/>
    <w:rsid w:val="000E7988"/>
    <w:rsid w:val="000E7D8D"/>
    <w:rsid w:val="000E7EC9"/>
    <w:rsid w:val="000F12D2"/>
    <w:rsid w:val="000F1594"/>
    <w:rsid w:val="000F1931"/>
    <w:rsid w:val="000F1D17"/>
    <w:rsid w:val="000F399E"/>
    <w:rsid w:val="000F4854"/>
    <w:rsid w:val="000F4CBC"/>
    <w:rsid w:val="000F4F4D"/>
    <w:rsid w:val="000F4FE8"/>
    <w:rsid w:val="000F6AE7"/>
    <w:rsid w:val="000F7D06"/>
    <w:rsid w:val="00100B62"/>
    <w:rsid w:val="001018EB"/>
    <w:rsid w:val="00101C74"/>
    <w:rsid w:val="001021CC"/>
    <w:rsid w:val="00103A5B"/>
    <w:rsid w:val="00103A61"/>
    <w:rsid w:val="00103BCC"/>
    <w:rsid w:val="00103E40"/>
    <w:rsid w:val="00104453"/>
    <w:rsid w:val="0010457D"/>
    <w:rsid w:val="00105CE9"/>
    <w:rsid w:val="00106F41"/>
    <w:rsid w:val="00106FE4"/>
    <w:rsid w:val="0010799C"/>
    <w:rsid w:val="00112B85"/>
    <w:rsid w:val="00113231"/>
    <w:rsid w:val="001135EB"/>
    <w:rsid w:val="001144A3"/>
    <w:rsid w:val="00114898"/>
    <w:rsid w:val="00114F3B"/>
    <w:rsid w:val="00115490"/>
    <w:rsid w:val="001160C0"/>
    <w:rsid w:val="001173E1"/>
    <w:rsid w:val="00117E90"/>
    <w:rsid w:val="001210F4"/>
    <w:rsid w:val="00123453"/>
    <w:rsid w:val="00123B92"/>
    <w:rsid w:val="001243ED"/>
    <w:rsid w:val="00124F98"/>
    <w:rsid w:val="001257B9"/>
    <w:rsid w:val="0012599B"/>
    <w:rsid w:val="00125C95"/>
    <w:rsid w:val="001304B2"/>
    <w:rsid w:val="00130B25"/>
    <w:rsid w:val="00130E52"/>
    <w:rsid w:val="001317D1"/>
    <w:rsid w:val="001321D8"/>
    <w:rsid w:val="0013262A"/>
    <w:rsid w:val="0013473C"/>
    <w:rsid w:val="00134FC0"/>
    <w:rsid w:val="0013530F"/>
    <w:rsid w:val="0013531D"/>
    <w:rsid w:val="00136854"/>
    <w:rsid w:val="00136D70"/>
    <w:rsid w:val="00137101"/>
    <w:rsid w:val="00140207"/>
    <w:rsid w:val="00141250"/>
    <w:rsid w:val="00141306"/>
    <w:rsid w:val="0014206C"/>
    <w:rsid w:val="0014543C"/>
    <w:rsid w:val="00145AAA"/>
    <w:rsid w:val="00146D30"/>
    <w:rsid w:val="00146F64"/>
    <w:rsid w:val="001473AC"/>
    <w:rsid w:val="00147D30"/>
    <w:rsid w:val="001505A3"/>
    <w:rsid w:val="00150E56"/>
    <w:rsid w:val="00151930"/>
    <w:rsid w:val="0015285B"/>
    <w:rsid w:val="00152DE6"/>
    <w:rsid w:val="00152EA4"/>
    <w:rsid w:val="00155604"/>
    <w:rsid w:val="0015598A"/>
    <w:rsid w:val="00155E90"/>
    <w:rsid w:val="00157DFB"/>
    <w:rsid w:val="00160BB2"/>
    <w:rsid w:val="001631E8"/>
    <w:rsid w:val="001634AC"/>
    <w:rsid w:val="001634B0"/>
    <w:rsid w:val="0016463C"/>
    <w:rsid w:val="00164797"/>
    <w:rsid w:val="00164F53"/>
    <w:rsid w:val="00165915"/>
    <w:rsid w:val="00166F00"/>
    <w:rsid w:val="00167613"/>
    <w:rsid w:val="00170146"/>
    <w:rsid w:val="00170631"/>
    <w:rsid w:val="001707D2"/>
    <w:rsid w:val="00170A53"/>
    <w:rsid w:val="001715C4"/>
    <w:rsid w:val="0017160E"/>
    <w:rsid w:val="00171D0E"/>
    <w:rsid w:val="00171EE0"/>
    <w:rsid w:val="001728DE"/>
    <w:rsid w:val="00172A27"/>
    <w:rsid w:val="001731E5"/>
    <w:rsid w:val="00173422"/>
    <w:rsid w:val="001734F6"/>
    <w:rsid w:val="00174041"/>
    <w:rsid w:val="00174345"/>
    <w:rsid w:val="00174605"/>
    <w:rsid w:val="00174CCC"/>
    <w:rsid w:val="001751F1"/>
    <w:rsid w:val="0017579F"/>
    <w:rsid w:val="00175F3A"/>
    <w:rsid w:val="001765DB"/>
    <w:rsid w:val="0017678C"/>
    <w:rsid w:val="001773DA"/>
    <w:rsid w:val="00180652"/>
    <w:rsid w:val="00181C13"/>
    <w:rsid w:val="00182090"/>
    <w:rsid w:val="001834FF"/>
    <w:rsid w:val="001843A4"/>
    <w:rsid w:val="00185EF7"/>
    <w:rsid w:val="0018616A"/>
    <w:rsid w:val="0018618B"/>
    <w:rsid w:val="001868C4"/>
    <w:rsid w:val="00187301"/>
    <w:rsid w:val="001901D7"/>
    <w:rsid w:val="00192041"/>
    <w:rsid w:val="00192A83"/>
    <w:rsid w:val="00193E75"/>
    <w:rsid w:val="001947A3"/>
    <w:rsid w:val="00194A5B"/>
    <w:rsid w:val="0019635D"/>
    <w:rsid w:val="00196CAD"/>
    <w:rsid w:val="0019711D"/>
    <w:rsid w:val="0019721E"/>
    <w:rsid w:val="00197AA0"/>
    <w:rsid w:val="001A1707"/>
    <w:rsid w:val="001A1BEE"/>
    <w:rsid w:val="001A2F71"/>
    <w:rsid w:val="001A39AB"/>
    <w:rsid w:val="001A48B4"/>
    <w:rsid w:val="001A5A52"/>
    <w:rsid w:val="001A65F3"/>
    <w:rsid w:val="001A6C2F"/>
    <w:rsid w:val="001A70F2"/>
    <w:rsid w:val="001A7166"/>
    <w:rsid w:val="001A77B5"/>
    <w:rsid w:val="001A7A6C"/>
    <w:rsid w:val="001B0CAA"/>
    <w:rsid w:val="001B1BD4"/>
    <w:rsid w:val="001B2304"/>
    <w:rsid w:val="001B257E"/>
    <w:rsid w:val="001B2C53"/>
    <w:rsid w:val="001B3755"/>
    <w:rsid w:val="001B3E1A"/>
    <w:rsid w:val="001B4687"/>
    <w:rsid w:val="001B544A"/>
    <w:rsid w:val="001B561F"/>
    <w:rsid w:val="001B62B0"/>
    <w:rsid w:val="001B6B79"/>
    <w:rsid w:val="001B6C19"/>
    <w:rsid w:val="001B7C82"/>
    <w:rsid w:val="001B7CCB"/>
    <w:rsid w:val="001B7E26"/>
    <w:rsid w:val="001C01B0"/>
    <w:rsid w:val="001C0600"/>
    <w:rsid w:val="001C0987"/>
    <w:rsid w:val="001C0A0A"/>
    <w:rsid w:val="001C261D"/>
    <w:rsid w:val="001C2AEB"/>
    <w:rsid w:val="001C2B77"/>
    <w:rsid w:val="001C4B19"/>
    <w:rsid w:val="001C514E"/>
    <w:rsid w:val="001C52D4"/>
    <w:rsid w:val="001C5FD9"/>
    <w:rsid w:val="001C6573"/>
    <w:rsid w:val="001C6882"/>
    <w:rsid w:val="001C6A50"/>
    <w:rsid w:val="001C6C6C"/>
    <w:rsid w:val="001C7BE2"/>
    <w:rsid w:val="001D0BAC"/>
    <w:rsid w:val="001D1F2F"/>
    <w:rsid w:val="001D254F"/>
    <w:rsid w:val="001D2630"/>
    <w:rsid w:val="001D28C6"/>
    <w:rsid w:val="001D52FC"/>
    <w:rsid w:val="001D62EA"/>
    <w:rsid w:val="001D692F"/>
    <w:rsid w:val="001D6B69"/>
    <w:rsid w:val="001D72B8"/>
    <w:rsid w:val="001D7E44"/>
    <w:rsid w:val="001E0A9D"/>
    <w:rsid w:val="001E1ABE"/>
    <w:rsid w:val="001E1DAF"/>
    <w:rsid w:val="001E29F6"/>
    <w:rsid w:val="001E5072"/>
    <w:rsid w:val="001E56A3"/>
    <w:rsid w:val="001E6356"/>
    <w:rsid w:val="001E68B9"/>
    <w:rsid w:val="001E736F"/>
    <w:rsid w:val="001E73A9"/>
    <w:rsid w:val="001E7A9F"/>
    <w:rsid w:val="001E7F3A"/>
    <w:rsid w:val="001E7FD6"/>
    <w:rsid w:val="001F152C"/>
    <w:rsid w:val="001F15F0"/>
    <w:rsid w:val="001F1BC6"/>
    <w:rsid w:val="001F202B"/>
    <w:rsid w:val="001F3E01"/>
    <w:rsid w:val="001F41BD"/>
    <w:rsid w:val="001F484D"/>
    <w:rsid w:val="001F4FE7"/>
    <w:rsid w:val="001F5165"/>
    <w:rsid w:val="001F518C"/>
    <w:rsid w:val="001F542F"/>
    <w:rsid w:val="001F61AA"/>
    <w:rsid w:val="001F7A0A"/>
    <w:rsid w:val="00200482"/>
    <w:rsid w:val="00200A7E"/>
    <w:rsid w:val="00201FED"/>
    <w:rsid w:val="00202A37"/>
    <w:rsid w:val="002032A0"/>
    <w:rsid w:val="002041EA"/>
    <w:rsid w:val="00205398"/>
    <w:rsid w:val="00205739"/>
    <w:rsid w:val="00205D65"/>
    <w:rsid w:val="002060B1"/>
    <w:rsid w:val="0020747E"/>
    <w:rsid w:val="0020748C"/>
    <w:rsid w:val="00207C54"/>
    <w:rsid w:val="00210DBC"/>
    <w:rsid w:val="00210DD0"/>
    <w:rsid w:val="00210EDE"/>
    <w:rsid w:val="00211353"/>
    <w:rsid w:val="00212A54"/>
    <w:rsid w:val="00213B0B"/>
    <w:rsid w:val="00215192"/>
    <w:rsid w:val="00215B7E"/>
    <w:rsid w:val="00216D64"/>
    <w:rsid w:val="00216E6A"/>
    <w:rsid w:val="002173AF"/>
    <w:rsid w:val="00217548"/>
    <w:rsid w:val="002204CB"/>
    <w:rsid w:val="00220D0C"/>
    <w:rsid w:val="0022279E"/>
    <w:rsid w:val="00222FB1"/>
    <w:rsid w:val="002231B8"/>
    <w:rsid w:val="0022374A"/>
    <w:rsid w:val="002237FD"/>
    <w:rsid w:val="00223BE2"/>
    <w:rsid w:val="00223C1C"/>
    <w:rsid w:val="00224E04"/>
    <w:rsid w:val="00225662"/>
    <w:rsid w:val="00225FD2"/>
    <w:rsid w:val="00226A17"/>
    <w:rsid w:val="00226E0E"/>
    <w:rsid w:val="002279E5"/>
    <w:rsid w:val="00227B56"/>
    <w:rsid w:val="002309E7"/>
    <w:rsid w:val="00230D66"/>
    <w:rsid w:val="0023108C"/>
    <w:rsid w:val="002327AB"/>
    <w:rsid w:val="00232951"/>
    <w:rsid w:val="0023345E"/>
    <w:rsid w:val="00233DC3"/>
    <w:rsid w:val="00234A73"/>
    <w:rsid w:val="00236FCF"/>
    <w:rsid w:val="00237845"/>
    <w:rsid w:val="002401B7"/>
    <w:rsid w:val="002404E8"/>
    <w:rsid w:val="002408B9"/>
    <w:rsid w:val="00240DDC"/>
    <w:rsid w:val="00241017"/>
    <w:rsid w:val="002423A1"/>
    <w:rsid w:val="00243477"/>
    <w:rsid w:val="00243CC1"/>
    <w:rsid w:val="0024415B"/>
    <w:rsid w:val="0024416C"/>
    <w:rsid w:val="00244C02"/>
    <w:rsid w:val="002460C4"/>
    <w:rsid w:val="0024649C"/>
    <w:rsid w:val="002464E8"/>
    <w:rsid w:val="002464ED"/>
    <w:rsid w:val="0024668F"/>
    <w:rsid w:val="0024751C"/>
    <w:rsid w:val="002478E1"/>
    <w:rsid w:val="00247BE2"/>
    <w:rsid w:val="00247EFA"/>
    <w:rsid w:val="00250EE2"/>
    <w:rsid w:val="00251270"/>
    <w:rsid w:val="002513D1"/>
    <w:rsid w:val="002530B4"/>
    <w:rsid w:val="00253400"/>
    <w:rsid w:val="00254076"/>
    <w:rsid w:val="00254DDF"/>
    <w:rsid w:val="00255170"/>
    <w:rsid w:val="00255190"/>
    <w:rsid w:val="002553F1"/>
    <w:rsid w:val="00255C1C"/>
    <w:rsid w:val="0025607A"/>
    <w:rsid w:val="0025741D"/>
    <w:rsid w:val="0025747F"/>
    <w:rsid w:val="002577C7"/>
    <w:rsid w:val="002606C5"/>
    <w:rsid w:val="002611CD"/>
    <w:rsid w:val="0026152E"/>
    <w:rsid w:val="0026199E"/>
    <w:rsid w:val="00261AB4"/>
    <w:rsid w:val="00261F33"/>
    <w:rsid w:val="00263B09"/>
    <w:rsid w:val="00263CD8"/>
    <w:rsid w:val="0026517B"/>
    <w:rsid w:val="002655F5"/>
    <w:rsid w:val="00267221"/>
    <w:rsid w:val="00267B47"/>
    <w:rsid w:val="00270CC6"/>
    <w:rsid w:val="002713AD"/>
    <w:rsid w:val="00271C5A"/>
    <w:rsid w:val="00273A27"/>
    <w:rsid w:val="0027423F"/>
    <w:rsid w:val="0027439E"/>
    <w:rsid w:val="00276DAA"/>
    <w:rsid w:val="00277B53"/>
    <w:rsid w:val="00277DC5"/>
    <w:rsid w:val="0028054E"/>
    <w:rsid w:val="00280BE8"/>
    <w:rsid w:val="0028178A"/>
    <w:rsid w:val="00282E6C"/>
    <w:rsid w:val="002830C3"/>
    <w:rsid w:val="00283670"/>
    <w:rsid w:val="00283EB8"/>
    <w:rsid w:val="00283F54"/>
    <w:rsid w:val="00284646"/>
    <w:rsid w:val="00285426"/>
    <w:rsid w:val="00287104"/>
    <w:rsid w:val="00287A8B"/>
    <w:rsid w:val="00291359"/>
    <w:rsid w:val="002919D5"/>
    <w:rsid w:val="00291AC1"/>
    <w:rsid w:val="00291CF6"/>
    <w:rsid w:val="00293A02"/>
    <w:rsid w:val="00293E78"/>
    <w:rsid w:val="002940E2"/>
    <w:rsid w:val="00296A8E"/>
    <w:rsid w:val="002971F2"/>
    <w:rsid w:val="002975C8"/>
    <w:rsid w:val="00297E19"/>
    <w:rsid w:val="002A0F51"/>
    <w:rsid w:val="002A1310"/>
    <w:rsid w:val="002A16D1"/>
    <w:rsid w:val="002A2BEB"/>
    <w:rsid w:val="002A32FB"/>
    <w:rsid w:val="002A4383"/>
    <w:rsid w:val="002A46E6"/>
    <w:rsid w:val="002A6553"/>
    <w:rsid w:val="002A6B23"/>
    <w:rsid w:val="002A6D43"/>
    <w:rsid w:val="002A6F02"/>
    <w:rsid w:val="002A6FCA"/>
    <w:rsid w:val="002A759C"/>
    <w:rsid w:val="002A7AF3"/>
    <w:rsid w:val="002B0FA3"/>
    <w:rsid w:val="002B1036"/>
    <w:rsid w:val="002B108D"/>
    <w:rsid w:val="002B12E2"/>
    <w:rsid w:val="002B1F2A"/>
    <w:rsid w:val="002B2358"/>
    <w:rsid w:val="002B2D4B"/>
    <w:rsid w:val="002B2FA8"/>
    <w:rsid w:val="002B3506"/>
    <w:rsid w:val="002B3D80"/>
    <w:rsid w:val="002B406A"/>
    <w:rsid w:val="002B52FA"/>
    <w:rsid w:val="002B533A"/>
    <w:rsid w:val="002B58E9"/>
    <w:rsid w:val="002B598B"/>
    <w:rsid w:val="002B700A"/>
    <w:rsid w:val="002B747A"/>
    <w:rsid w:val="002B7781"/>
    <w:rsid w:val="002C07F6"/>
    <w:rsid w:val="002C0C83"/>
    <w:rsid w:val="002C1273"/>
    <w:rsid w:val="002C12BB"/>
    <w:rsid w:val="002C172E"/>
    <w:rsid w:val="002C20F5"/>
    <w:rsid w:val="002C219D"/>
    <w:rsid w:val="002C22DB"/>
    <w:rsid w:val="002C2690"/>
    <w:rsid w:val="002C39D3"/>
    <w:rsid w:val="002C3D73"/>
    <w:rsid w:val="002C4EC9"/>
    <w:rsid w:val="002C5E89"/>
    <w:rsid w:val="002C64EB"/>
    <w:rsid w:val="002C712F"/>
    <w:rsid w:val="002D00EB"/>
    <w:rsid w:val="002D014B"/>
    <w:rsid w:val="002D0AE7"/>
    <w:rsid w:val="002D0FC8"/>
    <w:rsid w:val="002D1069"/>
    <w:rsid w:val="002D12B8"/>
    <w:rsid w:val="002D1BF5"/>
    <w:rsid w:val="002D3593"/>
    <w:rsid w:val="002D4381"/>
    <w:rsid w:val="002D622E"/>
    <w:rsid w:val="002D6C40"/>
    <w:rsid w:val="002D7412"/>
    <w:rsid w:val="002D7741"/>
    <w:rsid w:val="002D7A0E"/>
    <w:rsid w:val="002D7C64"/>
    <w:rsid w:val="002E0441"/>
    <w:rsid w:val="002E0FCD"/>
    <w:rsid w:val="002E1F1E"/>
    <w:rsid w:val="002E2F4A"/>
    <w:rsid w:val="002E2FF7"/>
    <w:rsid w:val="002E3352"/>
    <w:rsid w:val="002E367A"/>
    <w:rsid w:val="002E3806"/>
    <w:rsid w:val="002E383F"/>
    <w:rsid w:val="002E38B0"/>
    <w:rsid w:val="002E3983"/>
    <w:rsid w:val="002E3AEC"/>
    <w:rsid w:val="002E5462"/>
    <w:rsid w:val="002E639F"/>
    <w:rsid w:val="002E6FF5"/>
    <w:rsid w:val="002E726A"/>
    <w:rsid w:val="002E74F0"/>
    <w:rsid w:val="002F019F"/>
    <w:rsid w:val="002F04FC"/>
    <w:rsid w:val="002F072D"/>
    <w:rsid w:val="002F0980"/>
    <w:rsid w:val="002F0C02"/>
    <w:rsid w:val="002F217E"/>
    <w:rsid w:val="002F289F"/>
    <w:rsid w:val="002F292D"/>
    <w:rsid w:val="002F2EBD"/>
    <w:rsid w:val="002F3451"/>
    <w:rsid w:val="002F3D87"/>
    <w:rsid w:val="002F4CD7"/>
    <w:rsid w:val="002F55CE"/>
    <w:rsid w:val="002F5BA0"/>
    <w:rsid w:val="002F6196"/>
    <w:rsid w:val="002F6927"/>
    <w:rsid w:val="002F6B8D"/>
    <w:rsid w:val="002F792B"/>
    <w:rsid w:val="002F7CA4"/>
    <w:rsid w:val="0030068A"/>
    <w:rsid w:val="00300B08"/>
    <w:rsid w:val="00300F75"/>
    <w:rsid w:val="00301E61"/>
    <w:rsid w:val="00302A74"/>
    <w:rsid w:val="00303772"/>
    <w:rsid w:val="00304182"/>
    <w:rsid w:val="003044BD"/>
    <w:rsid w:val="00304812"/>
    <w:rsid w:val="00306D50"/>
    <w:rsid w:val="003123A1"/>
    <w:rsid w:val="00312D6C"/>
    <w:rsid w:val="0031310B"/>
    <w:rsid w:val="00313732"/>
    <w:rsid w:val="003146FC"/>
    <w:rsid w:val="00314FE8"/>
    <w:rsid w:val="003152B7"/>
    <w:rsid w:val="00315EF4"/>
    <w:rsid w:val="00316C58"/>
    <w:rsid w:val="00317416"/>
    <w:rsid w:val="0032039D"/>
    <w:rsid w:val="003207A3"/>
    <w:rsid w:val="00320A80"/>
    <w:rsid w:val="00321901"/>
    <w:rsid w:val="00321A14"/>
    <w:rsid w:val="00321C73"/>
    <w:rsid w:val="00323EDA"/>
    <w:rsid w:val="00323F5D"/>
    <w:rsid w:val="003246D4"/>
    <w:rsid w:val="003249E4"/>
    <w:rsid w:val="00325B66"/>
    <w:rsid w:val="0032654E"/>
    <w:rsid w:val="00326A96"/>
    <w:rsid w:val="00326DE8"/>
    <w:rsid w:val="003274B6"/>
    <w:rsid w:val="003320E4"/>
    <w:rsid w:val="00332AC6"/>
    <w:rsid w:val="00332CAD"/>
    <w:rsid w:val="0033375E"/>
    <w:rsid w:val="00333ED4"/>
    <w:rsid w:val="00334F4E"/>
    <w:rsid w:val="0033511F"/>
    <w:rsid w:val="00335556"/>
    <w:rsid w:val="00335803"/>
    <w:rsid w:val="00335C99"/>
    <w:rsid w:val="003361A8"/>
    <w:rsid w:val="003364A9"/>
    <w:rsid w:val="00336AE5"/>
    <w:rsid w:val="00336B09"/>
    <w:rsid w:val="00336DAF"/>
    <w:rsid w:val="003373C5"/>
    <w:rsid w:val="00337DF9"/>
    <w:rsid w:val="00337F46"/>
    <w:rsid w:val="00337F52"/>
    <w:rsid w:val="0034296C"/>
    <w:rsid w:val="0034463B"/>
    <w:rsid w:val="003446E7"/>
    <w:rsid w:val="003447AC"/>
    <w:rsid w:val="00344CCE"/>
    <w:rsid w:val="00344EF7"/>
    <w:rsid w:val="00345FDF"/>
    <w:rsid w:val="0034634E"/>
    <w:rsid w:val="003464EC"/>
    <w:rsid w:val="003466C8"/>
    <w:rsid w:val="003468C9"/>
    <w:rsid w:val="003475FC"/>
    <w:rsid w:val="0035184D"/>
    <w:rsid w:val="00351BC3"/>
    <w:rsid w:val="00352F74"/>
    <w:rsid w:val="00353656"/>
    <w:rsid w:val="003537FF"/>
    <w:rsid w:val="003540AF"/>
    <w:rsid w:val="00354B56"/>
    <w:rsid w:val="00354D44"/>
    <w:rsid w:val="00354E1A"/>
    <w:rsid w:val="003561F4"/>
    <w:rsid w:val="003568F7"/>
    <w:rsid w:val="00356A0C"/>
    <w:rsid w:val="00357BE4"/>
    <w:rsid w:val="003607E0"/>
    <w:rsid w:val="00362278"/>
    <w:rsid w:val="00363205"/>
    <w:rsid w:val="00363742"/>
    <w:rsid w:val="0036404B"/>
    <w:rsid w:val="0036459A"/>
    <w:rsid w:val="003645A4"/>
    <w:rsid w:val="003655B6"/>
    <w:rsid w:val="0036585A"/>
    <w:rsid w:val="0036607C"/>
    <w:rsid w:val="0036613D"/>
    <w:rsid w:val="003664E9"/>
    <w:rsid w:val="0036670A"/>
    <w:rsid w:val="00366AF0"/>
    <w:rsid w:val="00370870"/>
    <w:rsid w:val="00371069"/>
    <w:rsid w:val="003711B7"/>
    <w:rsid w:val="003712B2"/>
    <w:rsid w:val="0037189D"/>
    <w:rsid w:val="00371D2E"/>
    <w:rsid w:val="00372300"/>
    <w:rsid w:val="00372F64"/>
    <w:rsid w:val="0037352D"/>
    <w:rsid w:val="003737ED"/>
    <w:rsid w:val="0037392C"/>
    <w:rsid w:val="00373CC5"/>
    <w:rsid w:val="00374070"/>
    <w:rsid w:val="00374B94"/>
    <w:rsid w:val="00374FCF"/>
    <w:rsid w:val="0037567D"/>
    <w:rsid w:val="003765DA"/>
    <w:rsid w:val="00376AC6"/>
    <w:rsid w:val="0038017D"/>
    <w:rsid w:val="00380AC7"/>
    <w:rsid w:val="00380DD7"/>
    <w:rsid w:val="00381013"/>
    <w:rsid w:val="003811B5"/>
    <w:rsid w:val="00381BAD"/>
    <w:rsid w:val="00382432"/>
    <w:rsid w:val="00384390"/>
    <w:rsid w:val="003853EB"/>
    <w:rsid w:val="00385553"/>
    <w:rsid w:val="00385C1A"/>
    <w:rsid w:val="00385D9E"/>
    <w:rsid w:val="00387108"/>
    <w:rsid w:val="00387171"/>
    <w:rsid w:val="003905F9"/>
    <w:rsid w:val="00390CFE"/>
    <w:rsid w:val="003918C1"/>
    <w:rsid w:val="0039191B"/>
    <w:rsid w:val="00391DCA"/>
    <w:rsid w:val="00391EC0"/>
    <w:rsid w:val="003926CA"/>
    <w:rsid w:val="003927CD"/>
    <w:rsid w:val="00393B4D"/>
    <w:rsid w:val="0039459E"/>
    <w:rsid w:val="00394D32"/>
    <w:rsid w:val="00394E18"/>
    <w:rsid w:val="00397E82"/>
    <w:rsid w:val="003A22A1"/>
    <w:rsid w:val="003A24E2"/>
    <w:rsid w:val="003A26F4"/>
    <w:rsid w:val="003A28F2"/>
    <w:rsid w:val="003A2A9E"/>
    <w:rsid w:val="003A36CF"/>
    <w:rsid w:val="003A3DB6"/>
    <w:rsid w:val="003A3DDF"/>
    <w:rsid w:val="003A424B"/>
    <w:rsid w:val="003A49BF"/>
    <w:rsid w:val="003A4C99"/>
    <w:rsid w:val="003A4E37"/>
    <w:rsid w:val="003A4E75"/>
    <w:rsid w:val="003A5E38"/>
    <w:rsid w:val="003A5EE1"/>
    <w:rsid w:val="003A60BB"/>
    <w:rsid w:val="003A74EA"/>
    <w:rsid w:val="003A7675"/>
    <w:rsid w:val="003B0A34"/>
    <w:rsid w:val="003B0F16"/>
    <w:rsid w:val="003B1C37"/>
    <w:rsid w:val="003B239A"/>
    <w:rsid w:val="003B2D3D"/>
    <w:rsid w:val="003B3158"/>
    <w:rsid w:val="003B3896"/>
    <w:rsid w:val="003B5910"/>
    <w:rsid w:val="003B5B1A"/>
    <w:rsid w:val="003B7346"/>
    <w:rsid w:val="003B7569"/>
    <w:rsid w:val="003B76EE"/>
    <w:rsid w:val="003B7A81"/>
    <w:rsid w:val="003C056C"/>
    <w:rsid w:val="003C0BAD"/>
    <w:rsid w:val="003C0EE4"/>
    <w:rsid w:val="003C229E"/>
    <w:rsid w:val="003C2ECE"/>
    <w:rsid w:val="003C460F"/>
    <w:rsid w:val="003C4AC0"/>
    <w:rsid w:val="003C6D7F"/>
    <w:rsid w:val="003C736B"/>
    <w:rsid w:val="003C7A26"/>
    <w:rsid w:val="003C7B62"/>
    <w:rsid w:val="003D03E8"/>
    <w:rsid w:val="003D11B0"/>
    <w:rsid w:val="003D198D"/>
    <w:rsid w:val="003D3566"/>
    <w:rsid w:val="003D48E6"/>
    <w:rsid w:val="003D4D26"/>
    <w:rsid w:val="003D4ECE"/>
    <w:rsid w:val="003D64F4"/>
    <w:rsid w:val="003D6981"/>
    <w:rsid w:val="003D6D5F"/>
    <w:rsid w:val="003D6F8A"/>
    <w:rsid w:val="003D724B"/>
    <w:rsid w:val="003D7627"/>
    <w:rsid w:val="003D7F6D"/>
    <w:rsid w:val="003E075E"/>
    <w:rsid w:val="003E138E"/>
    <w:rsid w:val="003E15D5"/>
    <w:rsid w:val="003E1FE1"/>
    <w:rsid w:val="003E256F"/>
    <w:rsid w:val="003E2775"/>
    <w:rsid w:val="003E2DE8"/>
    <w:rsid w:val="003E3772"/>
    <w:rsid w:val="003E38D9"/>
    <w:rsid w:val="003E45B2"/>
    <w:rsid w:val="003E4ABB"/>
    <w:rsid w:val="003E4B98"/>
    <w:rsid w:val="003E54E0"/>
    <w:rsid w:val="003E5B66"/>
    <w:rsid w:val="003E5CBD"/>
    <w:rsid w:val="003E61D0"/>
    <w:rsid w:val="003E6AD9"/>
    <w:rsid w:val="003E6D14"/>
    <w:rsid w:val="003E6F91"/>
    <w:rsid w:val="003E7324"/>
    <w:rsid w:val="003E7471"/>
    <w:rsid w:val="003F22C3"/>
    <w:rsid w:val="003F29FC"/>
    <w:rsid w:val="003F2D76"/>
    <w:rsid w:val="003F3894"/>
    <w:rsid w:val="003F4A4D"/>
    <w:rsid w:val="003F531B"/>
    <w:rsid w:val="003F566F"/>
    <w:rsid w:val="003F626C"/>
    <w:rsid w:val="003F62C6"/>
    <w:rsid w:val="004004F3"/>
    <w:rsid w:val="00400BC8"/>
    <w:rsid w:val="004015DB"/>
    <w:rsid w:val="004019BD"/>
    <w:rsid w:val="0040225A"/>
    <w:rsid w:val="004024AF"/>
    <w:rsid w:val="00402DE5"/>
    <w:rsid w:val="0040373D"/>
    <w:rsid w:val="00403A74"/>
    <w:rsid w:val="004051BD"/>
    <w:rsid w:val="00405AA4"/>
    <w:rsid w:val="00406970"/>
    <w:rsid w:val="00406AC2"/>
    <w:rsid w:val="00407460"/>
    <w:rsid w:val="00410100"/>
    <w:rsid w:val="00410C5E"/>
    <w:rsid w:val="00411950"/>
    <w:rsid w:val="00412D29"/>
    <w:rsid w:val="00414663"/>
    <w:rsid w:val="00415382"/>
    <w:rsid w:val="0041582E"/>
    <w:rsid w:val="004159BD"/>
    <w:rsid w:val="00415A50"/>
    <w:rsid w:val="00416A3E"/>
    <w:rsid w:val="004175A7"/>
    <w:rsid w:val="004175D8"/>
    <w:rsid w:val="00417D32"/>
    <w:rsid w:val="00420265"/>
    <w:rsid w:val="004209E9"/>
    <w:rsid w:val="00422BA5"/>
    <w:rsid w:val="00423394"/>
    <w:rsid w:val="00423756"/>
    <w:rsid w:val="0042464E"/>
    <w:rsid w:val="00424794"/>
    <w:rsid w:val="004253D1"/>
    <w:rsid w:val="00427E1E"/>
    <w:rsid w:val="004301B3"/>
    <w:rsid w:val="004305DC"/>
    <w:rsid w:val="0043091C"/>
    <w:rsid w:val="004309D1"/>
    <w:rsid w:val="00430CF9"/>
    <w:rsid w:val="00431B79"/>
    <w:rsid w:val="00433852"/>
    <w:rsid w:val="00433A3A"/>
    <w:rsid w:val="00433C6C"/>
    <w:rsid w:val="0043472A"/>
    <w:rsid w:val="0043492B"/>
    <w:rsid w:val="00435552"/>
    <w:rsid w:val="00435914"/>
    <w:rsid w:val="00435C68"/>
    <w:rsid w:val="00435CDC"/>
    <w:rsid w:val="00435DB3"/>
    <w:rsid w:val="004366BE"/>
    <w:rsid w:val="00436CE6"/>
    <w:rsid w:val="004372F1"/>
    <w:rsid w:val="0043758F"/>
    <w:rsid w:val="004376C2"/>
    <w:rsid w:val="0043783C"/>
    <w:rsid w:val="00437D76"/>
    <w:rsid w:val="00441B65"/>
    <w:rsid w:val="004438EA"/>
    <w:rsid w:val="00444528"/>
    <w:rsid w:val="0044454C"/>
    <w:rsid w:val="0044479A"/>
    <w:rsid w:val="00444B16"/>
    <w:rsid w:val="004454E6"/>
    <w:rsid w:val="00445552"/>
    <w:rsid w:val="00446159"/>
    <w:rsid w:val="004478A1"/>
    <w:rsid w:val="00447EAF"/>
    <w:rsid w:val="00447EF9"/>
    <w:rsid w:val="00450ACD"/>
    <w:rsid w:val="00450BD3"/>
    <w:rsid w:val="00451A19"/>
    <w:rsid w:val="00454496"/>
    <w:rsid w:val="0045458E"/>
    <w:rsid w:val="004546F1"/>
    <w:rsid w:val="00455BB8"/>
    <w:rsid w:val="00456856"/>
    <w:rsid w:val="00456C03"/>
    <w:rsid w:val="004570CC"/>
    <w:rsid w:val="004576F7"/>
    <w:rsid w:val="00461305"/>
    <w:rsid w:val="00461352"/>
    <w:rsid w:val="00461ACE"/>
    <w:rsid w:val="00463735"/>
    <w:rsid w:val="00464731"/>
    <w:rsid w:val="004647FE"/>
    <w:rsid w:val="0046538B"/>
    <w:rsid w:val="0046556F"/>
    <w:rsid w:val="004669BA"/>
    <w:rsid w:val="00466D60"/>
    <w:rsid w:val="00466E4D"/>
    <w:rsid w:val="00467C87"/>
    <w:rsid w:val="0047074F"/>
    <w:rsid w:val="00470D35"/>
    <w:rsid w:val="00471672"/>
    <w:rsid w:val="00471FE3"/>
    <w:rsid w:val="0047215F"/>
    <w:rsid w:val="00473EB0"/>
    <w:rsid w:val="00474517"/>
    <w:rsid w:val="00474690"/>
    <w:rsid w:val="00475D3B"/>
    <w:rsid w:val="00476416"/>
    <w:rsid w:val="00476B65"/>
    <w:rsid w:val="00480553"/>
    <w:rsid w:val="00481805"/>
    <w:rsid w:val="004838BE"/>
    <w:rsid w:val="0048496B"/>
    <w:rsid w:val="00484E59"/>
    <w:rsid w:val="0048554F"/>
    <w:rsid w:val="004855F8"/>
    <w:rsid w:val="00485DF8"/>
    <w:rsid w:val="004864A3"/>
    <w:rsid w:val="00487052"/>
    <w:rsid w:val="004874E1"/>
    <w:rsid w:val="00490299"/>
    <w:rsid w:val="004906A1"/>
    <w:rsid w:val="00490C25"/>
    <w:rsid w:val="00491443"/>
    <w:rsid w:val="00491865"/>
    <w:rsid w:val="00491EFB"/>
    <w:rsid w:val="00491F42"/>
    <w:rsid w:val="00492578"/>
    <w:rsid w:val="004938A1"/>
    <w:rsid w:val="00493A09"/>
    <w:rsid w:val="0049404D"/>
    <w:rsid w:val="004940E8"/>
    <w:rsid w:val="004942F5"/>
    <w:rsid w:val="00494878"/>
    <w:rsid w:val="00494CAC"/>
    <w:rsid w:val="00495465"/>
    <w:rsid w:val="00495EC9"/>
    <w:rsid w:val="00497052"/>
    <w:rsid w:val="00497288"/>
    <w:rsid w:val="004978FD"/>
    <w:rsid w:val="004A0115"/>
    <w:rsid w:val="004A0790"/>
    <w:rsid w:val="004A07CB"/>
    <w:rsid w:val="004A0F36"/>
    <w:rsid w:val="004A1332"/>
    <w:rsid w:val="004A2EA7"/>
    <w:rsid w:val="004A4C7D"/>
    <w:rsid w:val="004A59FA"/>
    <w:rsid w:val="004A6B35"/>
    <w:rsid w:val="004A70F4"/>
    <w:rsid w:val="004B0DF0"/>
    <w:rsid w:val="004B191D"/>
    <w:rsid w:val="004B1BDE"/>
    <w:rsid w:val="004B231A"/>
    <w:rsid w:val="004B28FA"/>
    <w:rsid w:val="004B29FB"/>
    <w:rsid w:val="004B3921"/>
    <w:rsid w:val="004B39F6"/>
    <w:rsid w:val="004B3D19"/>
    <w:rsid w:val="004B5CD5"/>
    <w:rsid w:val="004B6010"/>
    <w:rsid w:val="004B70C0"/>
    <w:rsid w:val="004C0BC2"/>
    <w:rsid w:val="004C0D6F"/>
    <w:rsid w:val="004C1AB6"/>
    <w:rsid w:val="004C1D11"/>
    <w:rsid w:val="004C1D2E"/>
    <w:rsid w:val="004C372C"/>
    <w:rsid w:val="004C4DE0"/>
    <w:rsid w:val="004C5116"/>
    <w:rsid w:val="004C5510"/>
    <w:rsid w:val="004C582B"/>
    <w:rsid w:val="004C61AC"/>
    <w:rsid w:val="004C6261"/>
    <w:rsid w:val="004C683A"/>
    <w:rsid w:val="004C6C1F"/>
    <w:rsid w:val="004C73AA"/>
    <w:rsid w:val="004D0501"/>
    <w:rsid w:val="004D0B6C"/>
    <w:rsid w:val="004D1274"/>
    <w:rsid w:val="004D1811"/>
    <w:rsid w:val="004D3086"/>
    <w:rsid w:val="004D30B3"/>
    <w:rsid w:val="004D3124"/>
    <w:rsid w:val="004D37BC"/>
    <w:rsid w:val="004D37D6"/>
    <w:rsid w:val="004D437B"/>
    <w:rsid w:val="004D4890"/>
    <w:rsid w:val="004D490C"/>
    <w:rsid w:val="004D4CE0"/>
    <w:rsid w:val="004D562F"/>
    <w:rsid w:val="004D5705"/>
    <w:rsid w:val="004D65E3"/>
    <w:rsid w:val="004D6F17"/>
    <w:rsid w:val="004D71C2"/>
    <w:rsid w:val="004D7F3A"/>
    <w:rsid w:val="004E1245"/>
    <w:rsid w:val="004E16FF"/>
    <w:rsid w:val="004E19DC"/>
    <w:rsid w:val="004E22CD"/>
    <w:rsid w:val="004E288C"/>
    <w:rsid w:val="004E29D1"/>
    <w:rsid w:val="004E2AE8"/>
    <w:rsid w:val="004E2D8B"/>
    <w:rsid w:val="004E364E"/>
    <w:rsid w:val="004E3F64"/>
    <w:rsid w:val="004E43B7"/>
    <w:rsid w:val="004E4D45"/>
    <w:rsid w:val="004E58C4"/>
    <w:rsid w:val="004E5AB8"/>
    <w:rsid w:val="004E5D29"/>
    <w:rsid w:val="004E69FA"/>
    <w:rsid w:val="004E76B9"/>
    <w:rsid w:val="004F0A77"/>
    <w:rsid w:val="004F12FF"/>
    <w:rsid w:val="004F17DE"/>
    <w:rsid w:val="004F1BC1"/>
    <w:rsid w:val="004F29A1"/>
    <w:rsid w:val="004F4DB3"/>
    <w:rsid w:val="004F558F"/>
    <w:rsid w:val="004F5C32"/>
    <w:rsid w:val="004F5DB8"/>
    <w:rsid w:val="004F6057"/>
    <w:rsid w:val="004F6AF6"/>
    <w:rsid w:val="004F78DB"/>
    <w:rsid w:val="00500C8E"/>
    <w:rsid w:val="00501011"/>
    <w:rsid w:val="00501658"/>
    <w:rsid w:val="005017D9"/>
    <w:rsid w:val="00501F71"/>
    <w:rsid w:val="0050270D"/>
    <w:rsid w:val="00502A41"/>
    <w:rsid w:val="00502ED1"/>
    <w:rsid w:val="00503CCE"/>
    <w:rsid w:val="00503D64"/>
    <w:rsid w:val="00504006"/>
    <w:rsid w:val="00504329"/>
    <w:rsid w:val="00504A43"/>
    <w:rsid w:val="00504CD8"/>
    <w:rsid w:val="0050533F"/>
    <w:rsid w:val="005053D6"/>
    <w:rsid w:val="00505B05"/>
    <w:rsid w:val="00506636"/>
    <w:rsid w:val="00511FFA"/>
    <w:rsid w:val="005122D2"/>
    <w:rsid w:val="0051232A"/>
    <w:rsid w:val="00512391"/>
    <w:rsid w:val="0051299D"/>
    <w:rsid w:val="0051304A"/>
    <w:rsid w:val="00513DA7"/>
    <w:rsid w:val="00513E85"/>
    <w:rsid w:val="0051422F"/>
    <w:rsid w:val="005149F9"/>
    <w:rsid w:val="0051536B"/>
    <w:rsid w:val="0051544E"/>
    <w:rsid w:val="00516F2A"/>
    <w:rsid w:val="00517FA1"/>
    <w:rsid w:val="00520A1F"/>
    <w:rsid w:val="00521EA1"/>
    <w:rsid w:val="00522207"/>
    <w:rsid w:val="00522588"/>
    <w:rsid w:val="00522ABD"/>
    <w:rsid w:val="00523926"/>
    <w:rsid w:val="00523F34"/>
    <w:rsid w:val="00526830"/>
    <w:rsid w:val="005277C3"/>
    <w:rsid w:val="00530640"/>
    <w:rsid w:val="0053103E"/>
    <w:rsid w:val="00531136"/>
    <w:rsid w:val="00531143"/>
    <w:rsid w:val="00531470"/>
    <w:rsid w:val="005317A7"/>
    <w:rsid w:val="00532680"/>
    <w:rsid w:val="00532B90"/>
    <w:rsid w:val="00532C4B"/>
    <w:rsid w:val="0053333D"/>
    <w:rsid w:val="00533BC3"/>
    <w:rsid w:val="00533C72"/>
    <w:rsid w:val="00536073"/>
    <w:rsid w:val="0053687E"/>
    <w:rsid w:val="00540DD4"/>
    <w:rsid w:val="00542118"/>
    <w:rsid w:val="00543911"/>
    <w:rsid w:val="00544096"/>
    <w:rsid w:val="0054431F"/>
    <w:rsid w:val="00544760"/>
    <w:rsid w:val="0054565C"/>
    <w:rsid w:val="005457F4"/>
    <w:rsid w:val="00546288"/>
    <w:rsid w:val="005468EA"/>
    <w:rsid w:val="005475F8"/>
    <w:rsid w:val="00550142"/>
    <w:rsid w:val="0055192F"/>
    <w:rsid w:val="00552E89"/>
    <w:rsid w:val="00553D08"/>
    <w:rsid w:val="00554136"/>
    <w:rsid w:val="005553F3"/>
    <w:rsid w:val="005554F0"/>
    <w:rsid w:val="00556389"/>
    <w:rsid w:val="0055698B"/>
    <w:rsid w:val="00556A1C"/>
    <w:rsid w:val="00557427"/>
    <w:rsid w:val="00557728"/>
    <w:rsid w:val="00560A85"/>
    <w:rsid w:val="00560BA6"/>
    <w:rsid w:val="0056158F"/>
    <w:rsid w:val="00561B7F"/>
    <w:rsid w:val="00561EE2"/>
    <w:rsid w:val="00562F09"/>
    <w:rsid w:val="00564249"/>
    <w:rsid w:val="005647EA"/>
    <w:rsid w:val="00567553"/>
    <w:rsid w:val="00567639"/>
    <w:rsid w:val="00567D17"/>
    <w:rsid w:val="005700F9"/>
    <w:rsid w:val="0057250D"/>
    <w:rsid w:val="0057383E"/>
    <w:rsid w:val="00573C07"/>
    <w:rsid w:val="00574BAD"/>
    <w:rsid w:val="00574CDB"/>
    <w:rsid w:val="005763C9"/>
    <w:rsid w:val="00576D55"/>
    <w:rsid w:val="00576E3E"/>
    <w:rsid w:val="005779DB"/>
    <w:rsid w:val="00577A46"/>
    <w:rsid w:val="005810BA"/>
    <w:rsid w:val="0058134E"/>
    <w:rsid w:val="00581C3F"/>
    <w:rsid w:val="00582519"/>
    <w:rsid w:val="00582CD6"/>
    <w:rsid w:val="00582DEC"/>
    <w:rsid w:val="005832B3"/>
    <w:rsid w:val="00583AA5"/>
    <w:rsid w:val="00583BDE"/>
    <w:rsid w:val="00583E51"/>
    <w:rsid w:val="00583EB3"/>
    <w:rsid w:val="005847AC"/>
    <w:rsid w:val="005853DD"/>
    <w:rsid w:val="00586469"/>
    <w:rsid w:val="005869BC"/>
    <w:rsid w:val="00586FD5"/>
    <w:rsid w:val="005912A1"/>
    <w:rsid w:val="005926A4"/>
    <w:rsid w:val="00592820"/>
    <w:rsid w:val="00592F51"/>
    <w:rsid w:val="005932B0"/>
    <w:rsid w:val="00593CE5"/>
    <w:rsid w:val="00594A20"/>
    <w:rsid w:val="0059516C"/>
    <w:rsid w:val="005955A3"/>
    <w:rsid w:val="005955A4"/>
    <w:rsid w:val="00595CF1"/>
    <w:rsid w:val="00596B9F"/>
    <w:rsid w:val="00596CF2"/>
    <w:rsid w:val="00597BBF"/>
    <w:rsid w:val="005A04F4"/>
    <w:rsid w:val="005A08BC"/>
    <w:rsid w:val="005A0F6D"/>
    <w:rsid w:val="005A1884"/>
    <w:rsid w:val="005A24F3"/>
    <w:rsid w:val="005A3173"/>
    <w:rsid w:val="005A3CE2"/>
    <w:rsid w:val="005A3E7A"/>
    <w:rsid w:val="005A4B78"/>
    <w:rsid w:val="005A4F4C"/>
    <w:rsid w:val="005A6A56"/>
    <w:rsid w:val="005A6B3F"/>
    <w:rsid w:val="005A71DA"/>
    <w:rsid w:val="005A76BC"/>
    <w:rsid w:val="005A7A75"/>
    <w:rsid w:val="005B04E2"/>
    <w:rsid w:val="005B0B54"/>
    <w:rsid w:val="005B0C97"/>
    <w:rsid w:val="005B19CE"/>
    <w:rsid w:val="005B280A"/>
    <w:rsid w:val="005B42FA"/>
    <w:rsid w:val="005B46BB"/>
    <w:rsid w:val="005B4888"/>
    <w:rsid w:val="005B7065"/>
    <w:rsid w:val="005B7C36"/>
    <w:rsid w:val="005B7E53"/>
    <w:rsid w:val="005B7EAD"/>
    <w:rsid w:val="005C0055"/>
    <w:rsid w:val="005C0344"/>
    <w:rsid w:val="005C1843"/>
    <w:rsid w:val="005C21BB"/>
    <w:rsid w:val="005C2489"/>
    <w:rsid w:val="005C2800"/>
    <w:rsid w:val="005C2869"/>
    <w:rsid w:val="005C2BC8"/>
    <w:rsid w:val="005C2C5C"/>
    <w:rsid w:val="005C2E3B"/>
    <w:rsid w:val="005C3336"/>
    <w:rsid w:val="005C3C2B"/>
    <w:rsid w:val="005C5514"/>
    <w:rsid w:val="005C6344"/>
    <w:rsid w:val="005C654D"/>
    <w:rsid w:val="005D0172"/>
    <w:rsid w:val="005D03C8"/>
    <w:rsid w:val="005D0861"/>
    <w:rsid w:val="005D1096"/>
    <w:rsid w:val="005D1142"/>
    <w:rsid w:val="005D16BA"/>
    <w:rsid w:val="005D24DE"/>
    <w:rsid w:val="005D254F"/>
    <w:rsid w:val="005D30D6"/>
    <w:rsid w:val="005D3D8F"/>
    <w:rsid w:val="005D416D"/>
    <w:rsid w:val="005D4644"/>
    <w:rsid w:val="005D4B3F"/>
    <w:rsid w:val="005D62A8"/>
    <w:rsid w:val="005D6550"/>
    <w:rsid w:val="005D69E3"/>
    <w:rsid w:val="005D6EB4"/>
    <w:rsid w:val="005D7089"/>
    <w:rsid w:val="005D715B"/>
    <w:rsid w:val="005D7384"/>
    <w:rsid w:val="005D773A"/>
    <w:rsid w:val="005E0346"/>
    <w:rsid w:val="005E099D"/>
    <w:rsid w:val="005E0B3B"/>
    <w:rsid w:val="005E0F2D"/>
    <w:rsid w:val="005E101F"/>
    <w:rsid w:val="005E15EE"/>
    <w:rsid w:val="005E1E68"/>
    <w:rsid w:val="005E249E"/>
    <w:rsid w:val="005E2A18"/>
    <w:rsid w:val="005E2D33"/>
    <w:rsid w:val="005E3407"/>
    <w:rsid w:val="005E3FD7"/>
    <w:rsid w:val="005E471C"/>
    <w:rsid w:val="005E4DF2"/>
    <w:rsid w:val="005E52BD"/>
    <w:rsid w:val="005E5480"/>
    <w:rsid w:val="005E5A21"/>
    <w:rsid w:val="005E5C63"/>
    <w:rsid w:val="005E5E7A"/>
    <w:rsid w:val="005E63E9"/>
    <w:rsid w:val="005E6DE9"/>
    <w:rsid w:val="005E6F9A"/>
    <w:rsid w:val="005E7002"/>
    <w:rsid w:val="005E7586"/>
    <w:rsid w:val="005E7942"/>
    <w:rsid w:val="005E7B38"/>
    <w:rsid w:val="005E7CEA"/>
    <w:rsid w:val="005F0F49"/>
    <w:rsid w:val="005F1126"/>
    <w:rsid w:val="005F13BF"/>
    <w:rsid w:val="005F15A2"/>
    <w:rsid w:val="005F191A"/>
    <w:rsid w:val="005F1F06"/>
    <w:rsid w:val="005F2180"/>
    <w:rsid w:val="005F2718"/>
    <w:rsid w:val="005F2F22"/>
    <w:rsid w:val="005F3C99"/>
    <w:rsid w:val="005F3E92"/>
    <w:rsid w:val="005F49DB"/>
    <w:rsid w:val="005F62A7"/>
    <w:rsid w:val="005F63F2"/>
    <w:rsid w:val="005F7331"/>
    <w:rsid w:val="006004C2"/>
    <w:rsid w:val="00602762"/>
    <w:rsid w:val="00602856"/>
    <w:rsid w:val="00602E0B"/>
    <w:rsid w:val="006035EB"/>
    <w:rsid w:val="00604C69"/>
    <w:rsid w:val="00606639"/>
    <w:rsid w:val="0061022C"/>
    <w:rsid w:val="00610611"/>
    <w:rsid w:val="006106D3"/>
    <w:rsid w:val="00610B9D"/>
    <w:rsid w:val="00610CDC"/>
    <w:rsid w:val="006119BD"/>
    <w:rsid w:val="00611A55"/>
    <w:rsid w:val="006128F5"/>
    <w:rsid w:val="00615A29"/>
    <w:rsid w:val="006169BD"/>
    <w:rsid w:val="00616C89"/>
    <w:rsid w:val="006175BE"/>
    <w:rsid w:val="00617718"/>
    <w:rsid w:val="00617CB6"/>
    <w:rsid w:val="00620A12"/>
    <w:rsid w:val="006212FA"/>
    <w:rsid w:val="00622115"/>
    <w:rsid w:val="006240DB"/>
    <w:rsid w:val="0062484D"/>
    <w:rsid w:val="006253F2"/>
    <w:rsid w:val="006254C2"/>
    <w:rsid w:val="00625D25"/>
    <w:rsid w:val="0062626C"/>
    <w:rsid w:val="006265B8"/>
    <w:rsid w:val="00627DD0"/>
    <w:rsid w:val="00630C76"/>
    <w:rsid w:val="0063182F"/>
    <w:rsid w:val="00631C4F"/>
    <w:rsid w:val="006323D0"/>
    <w:rsid w:val="00632C04"/>
    <w:rsid w:val="00632DA3"/>
    <w:rsid w:val="00633ADB"/>
    <w:rsid w:val="00633B5E"/>
    <w:rsid w:val="00633E1B"/>
    <w:rsid w:val="00633F52"/>
    <w:rsid w:val="00634358"/>
    <w:rsid w:val="006344B4"/>
    <w:rsid w:val="00634F78"/>
    <w:rsid w:val="0063530C"/>
    <w:rsid w:val="0063567D"/>
    <w:rsid w:val="006357D6"/>
    <w:rsid w:val="00635A92"/>
    <w:rsid w:val="00635AB8"/>
    <w:rsid w:val="00636E55"/>
    <w:rsid w:val="00637586"/>
    <w:rsid w:val="0063775C"/>
    <w:rsid w:val="0063788D"/>
    <w:rsid w:val="00640424"/>
    <w:rsid w:val="00640FC8"/>
    <w:rsid w:val="00641317"/>
    <w:rsid w:val="00641868"/>
    <w:rsid w:val="00642C43"/>
    <w:rsid w:val="00643F6C"/>
    <w:rsid w:val="0064504D"/>
    <w:rsid w:val="006453F0"/>
    <w:rsid w:val="006455F0"/>
    <w:rsid w:val="006457AF"/>
    <w:rsid w:val="00646FC3"/>
    <w:rsid w:val="00647165"/>
    <w:rsid w:val="00647E72"/>
    <w:rsid w:val="00647FEE"/>
    <w:rsid w:val="00650819"/>
    <w:rsid w:val="00650C23"/>
    <w:rsid w:val="00650DD0"/>
    <w:rsid w:val="006511F0"/>
    <w:rsid w:val="00651515"/>
    <w:rsid w:val="006518D1"/>
    <w:rsid w:val="00653460"/>
    <w:rsid w:val="006534D4"/>
    <w:rsid w:val="0065475A"/>
    <w:rsid w:val="00655F26"/>
    <w:rsid w:val="00655FE4"/>
    <w:rsid w:val="00656D14"/>
    <w:rsid w:val="006572E4"/>
    <w:rsid w:val="006575BB"/>
    <w:rsid w:val="0065776D"/>
    <w:rsid w:val="00657934"/>
    <w:rsid w:val="0066010B"/>
    <w:rsid w:val="00660256"/>
    <w:rsid w:val="00660388"/>
    <w:rsid w:val="00660FE6"/>
    <w:rsid w:val="006611A6"/>
    <w:rsid w:val="00661353"/>
    <w:rsid w:val="006619B5"/>
    <w:rsid w:val="00661ABB"/>
    <w:rsid w:val="006628B0"/>
    <w:rsid w:val="006630D4"/>
    <w:rsid w:val="00663102"/>
    <w:rsid w:val="006631A4"/>
    <w:rsid w:val="00663817"/>
    <w:rsid w:val="00663943"/>
    <w:rsid w:val="006642DA"/>
    <w:rsid w:val="0066457F"/>
    <w:rsid w:val="006652A1"/>
    <w:rsid w:val="00665CA5"/>
    <w:rsid w:val="006660CF"/>
    <w:rsid w:val="00666404"/>
    <w:rsid w:val="00666426"/>
    <w:rsid w:val="00666D27"/>
    <w:rsid w:val="00671071"/>
    <w:rsid w:val="006711E7"/>
    <w:rsid w:val="00671315"/>
    <w:rsid w:val="00671470"/>
    <w:rsid w:val="00671E27"/>
    <w:rsid w:val="00673245"/>
    <w:rsid w:val="006747ED"/>
    <w:rsid w:val="0067544F"/>
    <w:rsid w:val="006766DB"/>
    <w:rsid w:val="00676BAE"/>
    <w:rsid w:val="00677070"/>
    <w:rsid w:val="00677934"/>
    <w:rsid w:val="00677AA5"/>
    <w:rsid w:val="00677F7B"/>
    <w:rsid w:val="00680D18"/>
    <w:rsid w:val="00680D84"/>
    <w:rsid w:val="006826D4"/>
    <w:rsid w:val="00683055"/>
    <w:rsid w:val="006830EA"/>
    <w:rsid w:val="00684DD1"/>
    <w:rsid w:val="00684ED7"/>
    <w:rsid w:val="006855D1"/>
    <w:rsid w:val="00686524"/>
    <w:rsid w:val="00687088"/>
    <w:rsid w:val="0068741C"/>
    <w:rsid w:val="00690450"/>
    <w:rsid w:val="00690508"/>
    <w:rsid w:val="00690D67"/>
    <w:rsid w:val="006912FC"/>
    <w:rsid w:val="006935DE"/>
    <w:rsid w:val="0069382E"/>
    <w:rsid w:val="006942B8"/>
    <w:rsid w:val="00694482"/>
    <w:rsid w:val="006962E2"/>
    <w:rsid w:val="0069687B"/>
    <w:rsid w:val="00696880"/>
    <w:rsid w:val="00696D70"/>
    <w:rsid w:val="006976CC"/>
    <w:rsid w:val="00697E19"/>
    <w:rsid w:val="006A10CD"/>
    <w:rsid w:val="006A1CD3"/>
    <w:rsid w:val="006A31E2"/>
    <w:rsid w:val="006A5C17"/>
    <w:rsid w:val="006A60E4"/>
    <w:rsid w:val="006B2A79"/>
    <w:rsid w:val="006B2EC0"/>
    <w:rsid w:val="006B2F18"/>
    <w:rsid w:val="006B35A2"/>
    <w:rsid w:val="006B36C9"/>
    <w:rsid w:val="006B3EB2"/>
    <w:rsid w:val="006B4CBC"/>
    <w:rsid w:val="006B4D5F"/>
    <w:rsid w:val="006B50AC"/>
    <w:rsid w:val="006B5A63"/>
    <w:rsid w:val="006B6395"/>
    <w:rsid w:val="006B6987"/>
    <w:rsid w:val="006B6F10"/>
    <w:rsid w:val="006B73C0"/>
    <w:rsid w:val="006B7908"/>
    <w:rsid w:val="006B797C"/>
    <w:rsid w:val="006C0F9A"/>
    <w:rsid w:val="006C1950"/>
    <w:rsid w:val="006C206E"/>
    <w:rsid w:val="006C2D8E"/>
    <w:rsid w:val="006C2FD1"/>
    <w:rsid w:val="006C341D"/>
    <w:rsid w:val="006C3B59"/>
    <w:rsid w:val="006C515E"/>
    <w:rsid w:val="006C6507"/>
    <w:rsid w:val="006C6676"/>
    <w:rsid w:val="006C66DB"/>
    <w:rsid w:val="006C6823"/>
    <w:rsid w:val="006D071E"/>
    <w:rsid w:val="006D1009"/>
    <w:rsid w:val="006D24CD"/>
    <w:rsid w:val="006D258B"/>
    <w:rsid w:val="006D4260"/>
    <w:rsid w:val="006D443E"/>
    <w:rsid w:val="006D5A05"/>
    <w:rsid w:val="006D60A2"/>
    <w:rsid w:val="006D6680"/>
    <w:rsid w:val="006E03E5"/>
    <w:rsid w:val="006E1881"/>
    <w:rsid w:val="006E2459"/>
    <w:rsid w:val="006E248E"/>
    <w:rsid w:val="006E2FBF"/>
    <w:rsid w:val="006E45C4"/>
    <w:rsid w:val="006E474C"/>
    <w:rsid w:val="006E493C"/>
    <w:rsid w:val="006E4D68"/>
    <w:rsid w:val="006E57A2"/>
    <w:rsid w:val="006E5FC7"/>
    <w:rsid w:val="006E6211"/>
    <w:rsid w:val="006E72D1"/>
    <w:rsid w:val="006E750B"/>
    <w:rsid w:val="006E7AE6"/>
    <w:rsid w:val="006E7B12"/>
    <w:rsid w:val="006E7B9F"/>
    <w:rsid w:val="006E7F54"/>
    <w:rsid w:val="006F1295"/>
    <w:rsid w:val="006F14CD"/>
    <w:rsid w:val="006F170B"/>
    <w:rsid w:val="006F19AA"/>
    <w:rsid w:val="006F219A"/>
    <w:rsid w:val="006F2736"/>
    <w:rsid w:val="006F2937"/>
    <w:rsid w:val="006F4B22"/>
    <w:rsid w:val="006F4B6B"/>
    <w:rsid w:val="006F706A"/>
    <w:rsid w:val="006F7C18"/>
    <w:rsid w:val="00700042"/>
    <w:rsid w:val="00701156"/>
    <w:rsid w:val="0070123C"/>
    <w:rsid w:val="00701319"/>
    <w:rsid w:val="00702A2D"/>
    <w:rsid w:val="00702AAD"/>
    <w:rsid w:val="00702C28"/>
    <w:rsid w:val="00703916"/>
    <w:rsid w:val="00703DAF"/>
    <w:rsid w:val="00703F41"/>
    <w:rsid w:val="00706EC5"/>
    <w:rsid w:val="007074A5"/>
    <w:rsid w:val="00707EB7"/>
    <w:rsid w:val="007102C0"/>
    <w:rsid w:val="00710737"/>
    <w:rsid w:val="007131C2"/>
    <w:rsid w:val="00713A52"/>
    <w:rsid w:val="0071400D"/>
    <w:rsid w:val="00715474"/>
    <w:rsid w:val="00716756"/>
    <w:rsid w:val="007173EE"/>
    <w:rsid w:val="00717E8A"/>
    <w:rsid w:val="0072095B"/>
    <w:rsid w:val="007210ED"/>
    <w:rsid w:val="00721801"/>
    <w:rsid w:val="00724A25"/>
    <w:rsid w:val="00725C72"/>
    <w:rsid w:val="007265D0"/>
    <w:rsid w:val="00727DD0"/>
    <w:rsid w:val="00730222"/>
    <w:rsid w:val="00730438"/>
    <w:rsid w:val="0073058A"/>
    <w:rsid w:val="00730A1B"/>
    <w:rsid w:val="00730B34"/>
    <w:rsid w:val="007310D2"/>
    <w:rsid w:val="00731318"/>
    <w:rsid w:val="007317E3"/>
    <w:rsid w:val="00731DB1"/>
    <w:rsid w:val="00732BF8"/>
    <w:rsid w:val="00733211"/>
    <w:rsid w:val="00733559"/>
    <w:rsid w:val="00733B74"/>
    <w:rsid w:val="00733BBF"/>
    <w:rsid w:val="00733C35"/>
    <w:rsid w:val="00734053"/>
    <w:rsid w:val="00734078"/>
    <w:rsid w:val="007342F8"/>
    <w:rsid w:val="00734B48"/>
    <w:rsid w:val="00734C01"/>
    <w:rsid w:val="0073601A"/>
    <w:rsid w:val="00736404"/>
    <w:rsid w:val="00736BDA"/>
    <w:rsid w:val="00736ED1"/>
    <w:rsid w:val="00741E8A"/>
    <w:rsid w:val="007421CA"/>
    <w:rsid w:val="007423F6"/>
    <w:rsid w:val="00742F07"/>
    <w:rsid w:val="00743462"/>
    <w:rsid w:val="007434FC"/>
    <w:rsid w:val="00743D62"/>
    <w:rsid w:val="00745636"/>
    <w:rsid w:val="00745972"/>
    <w:rsid w:val="00746B85"/>
    <w:rsid w:val="007475B1"/>
    <w:rsid w:val="00747C53"/>
    <w:rsid w:val="007507AC"/>
    <w:rsid w:val="007519D6"/>
    <w:rsid w:val="00751E80"/>
    <w:rsid w:val="0075343C"/>
    <w:rsid w:val="0075367E"/>
    <w:rsid w:val="00754492"/>
    <w:rsid w:val="0075487F"/>
    <w:rsid w:val="00755C50"/>
    <w:rsid w:val="00756711"/>
    <w:rsid w:val="007572CF"/>
    <w:rsid w:val="00757C08"/>
    <w:rsid w:val="007604BD"/>
    <w:rsid w:val="0076117B"/>
    <w:rsid w:val="0076135C"/>
    <w:rsid w:val="00762947"/>
    <w:rsid w:val="00762A1D"/>
    <w:rsid w:val="00762AF5"/>
    <w:rsid w:val="00762F02"/>
    <w:rsid w:val="00763217"/>
    <w:rsid w:val="00763880"/>
    <w:rsid w:val="00763C98"/>
    <w:rsid w:val="00764200"/>
    <w:rsid w:val="00764364"/>
    <w:rsid w:val="007657DD"/>
    <w:rsid w:val="007673A5"/>
    <w:rsid w:val="00767DD7"/>
    <w:rsid w:val="00770F7C"/>
    <w:rsid w:val="00770FEF"/>
    <w:rsid w:val="007719D7"/>
    <w:rsid w:val="00772241"/>
    <w:rsid w:val="0077262C"/>
    <w:rsid w:val="00773BED"/>
    <w:rsid w:val="00774BDC"/>
    <w:rsid w:val="00775B26"/>
    <w:rsid w:val="0077732C"/>
    <w:rsid w:val="00777BC5"/>
    <w:rsid w:val="00777BCF"/>
    <w:rsid w:val="00777DED"/>
    <w:rsid w:val="00777FB3"/>
    <w:rsid w:val="00780A9C"/>
    <w:rsid w:val="007814C0"/>
    <w:rsid w:val="00781708"/>
    <w:rsid w:val="007840E1"/>
    <w:rsid w:val="00784570"/>
    <w:rsid w:val="007845C6"/>
    <w:rsid w:val="00784C0D"/>
    <w:rsid w:val="00784D8F"/>
    <w:rsid w:val="00784D9A"/>
    <w:rsid w:val="007850F3"/>
    <w:rsid w:val="007851C5"/>
    <w:rsid w:val="00786743"/>
    <w:rsid w:val="007873F6"/>
    <w:rsid w:val="00787529"/>
    <w:rsid w:val="00787777"/>
    <w:rsid w:val="007921D2"/>
    <w:rsid w:val="00793160"/>
    <w:rsid w:val="007934B6"/>
    <w:rsid w:val="007939C3"/>
    <w:rsid w:val="00793CA2"/>
    <w:rsid w:val="0079432F"/>
    <w:rsid w:val="00794720"/>
    <w:rsid w:val="00795776"/>
    <w:rsid w:val="00796A48"/>
    <w:rsid w:val="007977C0"/>
    <w:rsid w:val="007A0318"/>
    <w:rsid w:val="007A15CE"/>
    <w:rsid w:val="007A1ABD"/>
    <w:rsid w:val="007A1DC0"/>
    <w:rsid w:val="007A24C2"/>
    <w:rsid w:val="007A3C92"/>
    <w:rsid w:val="007A3E15"/>
    <w:rsid w:val="007A3E19"/>
    <w:rsid w:val="007A3E2F"/>
    <w:rsid w:val="007A4077"/>
    <w:rsid w:val="007A4720"/>
    <w:rsid w:val="007A5251"/>
    <w:rsid w:val="007A5459"/>
    <w:rsid w:val="007A55D3"/>
    <w:rsid w:val="007A5691"/>
    <w:rsid w:val="007A57CE"/>
    <w:rsid w:val="007A65E1"/>
    <w:rsid w:val="007A6888"/>
    <w:rsid w:val="007A68B4"/>
    <w:rsid w:val="007A74C7"/>
    <w:rsid w:val="007B08FF"/>
    <w:rsid w:val="007B0920"/>
    <w:rsid w:val="007B093D"/>
    <w:rsid w:val="007B316C"/>
    <w:rsid w:val="007B35AC"/>
    <w:rsid w:val="007B3B5C"/>
    <w:rsid w:val="007B3E8B"/>
    <w:rsid w:val="007B3EF7"/>
    <w:rsid w:val="007B54DD"/>
    <w:rsid w:val="007B574B"/>
    <w:rsid w:val="007B5B04"/>
    <w:rsid w:val="007B697A"/>
    <w:rsid w:val="007B7380"/>
    <w:rsid w:val="007B73FF"/>
    <w:rsid w:val="007C06CA"/>
    <w:rsid w:val="007C22EA"/>
    <w:rsid w:val="007C23CA"/>
    <w:rsid w:val="007C3AF1"/>
    <w:rsid w:val="007C3E60"/>
    <w:rsid w:val="007C3FC4"/>
    <w:rsid w:val="007C444C"/>
    <w:rsid w:val="007C5131"/>
    <w:rsid w:val="007C51B7"/>
    <w:rsid w:val="007C54BC"/>
    <w:rsid w:val="007C5DF9"/>
    <w:rsid w:val="007C626C"/>
    <w:rsid w:val="007C7E30"/>
    <w:rsid w:val="007D2001"/>
    <w:rsid w:val="007D3A9B"/>
    <w:rsid w:val="007D45C1"/>
    <w:rsid w:val="007D5966"/>
    <w:rsid w:val="007D5AF1"/>
    <w:rsid w:val="007D796B"/>
    <w:rsid w:val="007D7BB6"/>
    <w:rsid w:val="007E0244"/>
    <w:rsid w:val="007E04EE"/>
    <w:rsid w:val="007E0944"/>
    <w:rsid w:val="007E1F22"/>
    <w:rsid w:val="007E283E"/>
    <w:rsid w:val="007E2ADC"/>
    <w:rsid w:val="007E48AA"/>
    <w:rsid w:val="007E562F"/>
    <w:rsid w:val="007E5674"/>
    <w:rsid w:val="007E56D1"/>
    <w:rsid w:val="007E6E98"/>
    <w:rsid w:val="007E6F77"/>
    <w:rsid w:val="007E7E81"/>
    <w:rsid w:val="007F06C1"/>
    <w:rsid w:val="007F1D62"/>
    <w:rsid w:val="007F32D2"/>
    <w:rsid w:val="007F3BA6"/>
    <w:rsid w:val="007F3F18"/>
    <w:rsid w:val="007F43B7"/>
    <w:rsid w:val="007F4851"/>
    <w:rsid w:val="007F486E"/>
    <w:rsid w:val="007F505B"/>
    <w:rsid w:val="007F5BD3"/>
    <w:rsid w:val="007F6CCE"/>
    <w:rsid w:val="0080219A"/>
    <w:rsid w:val="008027B6"/>
    <w:rsid w:val="00802D67"/>
    <w:rsid w:val="00803AA7"/>
    <w:rsid w:val="008046B4"/>
    <w:rsid w:val="00804B81"/>
    <w:rsid w:val="00805388"/>
    <w:rsid w:val="008058BF"/>
    <w:rsid w:val="00806425"/>
    <w:rsid w:val="008068D7"/>
    <w:rsid w:val="0080692B"/>
    <w:rsid w:val="00806FBF"/>
    <w:rsid w:val="008077C9"/>
    <w:rsid w:val="00810DC2"/>
    <w:rsid w:val="008117B5"/>
    <w:rsid w:val="00813154"/>
    <w:rsid w:val="00813693"/>
    <w:rsid w:val="00814929"/>
    <w:rsid w:val="008152CD"/>
    <w:rsid w:val="0081615D"/>
    <w:rsid w:val="00816B8A"/>
    <w:rsid w:val="00817744"/>
    <w:rsid w:val="00817C8E"/>
    <w:rsid w:val="00820277"/>
    <w:rsid w:val="00821AEC"/>
    <w:rsid w:val="00822C1F"/>
    <w:rsid w:val="008234F6"/>
    <w:rsid w:val="00823D7F"/>
    <w:rsid w:val="00824500"/>
    <w:rsid w:val="00825544"/>
    <w:rsid w:val="00825B23"/>
    <w:rsid w:val="00825C06"/>
    <w:rsid w:val="00826137"/>
    <w:rsid w:val="008269BA"/>
    <w:rsid w:val="008271F7"/>
    <w:rsid w:val="008311DC"/>
    <w:rsid w:val="00831526"/>
    <w:rsid w:val="008321EC"/>
    <w:rsid w:val="00833024"/>
    <w:rsid w:val="00833108"/>
    <w:rsid w:val="00833AFB"/>
    <w:rsid w:val="00833D58"/>
    <w:rsid w:val="00834490"/>
    <w:rsid w:val="008349D7"/>
    <w:rsid w:val="00834FDD"/>
    <w:rsid w:val="00835A8F"/>
    <w:rsid w:val="00835F3F"/>
    <w:rsid w:val="00837CDE"/>
    <w:rsid w:val="00841814"/>
    <w:rsid w:val="008419C3"/>
    <w:rsid w:val="00841B45"/>
    <w:rsid w:val="00842234"/>
    <w:rsid w:val="008425F6"/>
    <w:rsid w:val="00843450"/>
    <w:rsid w:val="00843710"/>
    <w:rsid w:val="00843C19"/>
    <w:rsid w:val="00844581"/>
    <w:rsid w:val="0084478E"/>
    <w:rsid w:val="00846046"/>
    <w:rsid w:val="008469C2"/>
    <w:rsid w:val="00847048"/>
    <w:rsid w:val="00847DCF"/>
    <w:rsid w:val="00850C2E"/>
    <w:rsid w:val="00850F20"/>
    <w:rsid w:val="00852AEF"/>
    <w:rsid w:val="00852E7E"/>
    <w:rsid w:val="008534B9"/>
    <w:rsid w:val="00853C48"/>
    <w:rsid w:val="008545A7"/>
    <w:rsid w:val="00855F03"/>
    <w:rsid w:val="008561D1"/>
    <w:rsid w:val="008563E3"/>
    <w:rsid w:val="008565DB"/>
    <w:rsid w:val="008568B6"/>
    <w:rsid w:val="00856F0E"/>
    <w:rsid w:val="0085760F"/>
    <w:rsid w:val="0086125A"/>
    <w:rsid w:val="00861A64"/>
    <w:rsid w:val="00862023"/>
    <w:rsid w:val="00862757"/>
    <w:rsid w:val="00864132"/>
    <w:rsid w:val="0086500E"/>
    <w:rsid w:val="00865A10"/>
    <w:rsid w:val="00865B82"/>
    <w:rsid w:val="00866E5C"/>
    <w:rsid w:val="0086781B"/>
    <w:rsid w:val="008700C7"/>
    <w:rsid w:val="008701D4"/>
    <w:rsid w:val="00871D86"/>
    <w:rsid w:val="00872868"/>
    <w:rsid w:val="008729DD"/>
    <w:rsid w:val="0087357E"/>
    <w:rsid w:val="00873AF0"/>
    <w:rsid w:val="00873B2A"/>
    <w:rsid w:val="00873DE3"/>
    <w:rsid w:val="0087488E"/>
    <w:rsid w:val="0087550E"/>
    <w:rsid w:val="00875A17"/>
    <w:rsid w:val="00875D1E"/>
    <w:rsid w:val="00875DD0"/>
    <w:rsid w:val="00876218"/>
    <w:rsid w:val="00877828"/>
    <w:rsid w:val="008809E3"/>
    <w:rsid w:val="00881014"/>
    <w:rsid w:val="0088156C"/>
    <w:rsid w:val="00883B97"/>
    <w:rsid w:val="008843E7"/>
    <w:rsid w:val="00884990"/>
    <w:rsid w:val="00885F80"/>
    <w:rsid w:val="008870BB"/>
    <w:rsid w:val="00887880"/>
    <w:rsid w:val="00887A50"/>
    <w:rsid w:val="00887F18"/>
    <w:rsid w:val="00887F88"/>
    <w:rsid w:val="008912AE"/>
    <w:rsid w:val="00891DAF"/>
    <w:rsid w:val="00893889"/>
    <w:rsid w:val="00894944"/>
    <w:rsid w:val="008950C4"/>
    <w:rsid w:val="00895931"/>
    <w:rsid w:val="00896631"/>
    <w:rsid w:val="00896C3E"/>
    <w:rsid w:val="00896DFA"/>
    <w:rsid w:val="00896EA7"/>
    <w:rsid w:val="00897691"/>
    <w:rsid w:val="008A0072"/>
    <w:rsid w:val="008A007B"/>
    <w:rsid w:val="008A114A"/>
    <w:rsid w:val="008A1B3B"/>
    <w:rsid w:val="008A1EF5"/>
    <w:rsid w:val="008A235E"/>
    <w:rsid w:val="008A2796"/>
    <w:rsid w:val="008A4775"/>
    <w:rsid w:val="008A4BF5"/>
    <w:rsid w:val="008A5A18"/>
    <w:rsid w:val="008A5F15"/>
    <w:rsid w:val="008A60BE"/>
    <w:rsid w:val="008A6BB0"/>
    <w:rsid w:val="008A6CF5"/>
    <w:rsid w:val="008A71DA"/>
    <w:rsid w:val="008A7AE1"/>
    <w:rsid w:val="008B16BB"/>
    <w:rsid w:val="008B379D"/>
    <w:rsid w:val="008B3BA8"/>
    <w:rsid w:val="008B4E46"/>
    <w:rsid w:val="008B5DD7"/>
    <w:rsid w:val="008B655E"/>
    <w:rsid w:val="008B6D05"/>
    <w:rsid w:val="008B735A"/>
    <w:rsid w:val="008C0182"/>
    <w:rsid w:val="008C0291"/>
    <w:rsid w:val="008C043B"/>
    <w:rsid w:val="008C0D82"/>
    <w:rsid w:val="008C127A"/>
    <w:rsid w:val="008C13EB"/>
    <w:rsid w:val="008C14F2"/>
    <w:rsid w:val="008C18A5"/>
    <w:rsid w:val="008C26C3"/>
    <w:rsid w:val="008C297C"/>
    <w:rsid w:val="008C48C1"/>
    <w:rsid w:val="008C4A99"/>
    <w:rsid w:val="008C582E"/>
    <w:rsid w:val="008C6A0B"/>
    <w:rsid w:val="008C6A54"/>
    <w:rsid w:val="008C6BE5"/>
    <w:rsid w:val="008C6F58"/>
    <w:rsid w:val="008C771B"/>
    <w:rsid w:val="008C796C"/>
    <w:rsid w:val="008C79F7"/>
    <w:rsid w:val="008D002E"/>
    <w:rsid w:val="008D0207"/>
    <w:rsid w:val="008D060A"/>
    <w:rsid w:val="008D1898"/>
    <w:rsid w:val="008D233C"/>
    <w:rsid w:val="008D2983"/>
    <w:rsid w:val="008D2E72"/>
    <w:rsid w:val="008D3F2C"/>
    <w:rsid w:val="008D4605"/>
    <w:rsid w:val="008D4F49"/>
    <w:rsid w:val="008D5A52"/>
    <w:rsid w:val="008D6E16"/>
    <w:rsid w:val="008D7B01"/>
    <w:rsid w:val="008E0FE2"/>
    <w:rsid w:val="008E223C"/>
    <w:rsid w:val="008E229F"/>
    <w:rsid w:val="008E4731"/>
    <w:rsid w:val="008E5562"/>
    <w:rsid w:val="008E58A6"/>
    <w:rsid w:val="008E5D1B"/>
    <w:rsid w:val="008E65EE"/>
    <w:rsid w:val="008E6B4C"/>
    <w:rsid w:val="008E75F1"/>
    <w:rsid w:val="008F0B16"/>
    <w:rsid w:val="008F1522"/>
    <w:rsid w:val="008F2D31"/>
    <w:rsid w:val="008F2DC5"/>
    <w:rsid w:val="008F35D5"/>
    <w:rsid w:val="008F3791"/>
    <w:rsid w:val="008F486C"/>
    <w:rsid w:val="008F4B5D"/>
    <w:rsid w:val="008F61D9"/>
    <w:rsid w:val="008F6322"/>
    <w:rsid w:val="008F6830"/>
    <w:rsid w:val="008F6D80"/>
    <w:rsid w:val="008F72CA"/>
    <w:rsid w:val="00901CF1"/>
    <w:rsid w:val="00902983"/>
    <w:rsid w:val="00902D00"/>
    <w:rsid w:val="00903B40"/>
    <w:rsid w:val="00903C4E"/>
    <w:rsid w:val="0090402C"/>
    <w:rsid w:val="00904181"/>
    <w:rsid w:val="00904716"/>
    <w:rsid w:val="0090579F"/>
    <w:rsid w:val="00906436"/>
    <w:rsid w:val="0090657F"/>
    <w:rsid w:val="0090746B"/>
    <w:rsid w:val="009102A5"/>
    <w:rsid w:val="00910635"/>
    <w:rsid w:val="00910806"/>
    <w:rsid w:val="00910A29"/>
    <w:rsid w:val="00910EFE"/>
    <w:rsid w:val="00910FCB"/>
    <w:rsid w:val="009111B6"/>
    <w:rsid w:val="00911405"/>
    <w:rsid w:val="009126FE"/>
    <w:rsid w:val="00913CDA"/>
    <w:rsid w:val="00913FF1"/>
    <w:rsid w:val="009146DC"/>
    <w:rsid w:val="00914A2B"/>
    <w:rsid w:val="00915090"/>
    <w:rsid w:val="00916F1F"/>
    <w:rsid w:val="0092058E"/>
    <w:rsid w:val="00920E4C"/>
    <w:rsid w:val="0092245C"/>
    <w:rsid w:val="00922577"/>
    <w:rsid w:val="00922CC1"/>
    <w:rsid w:val="00923721"/>
    <w:rsid w:val="00923DFB"/>
    <w:rsid w:val="00924037"/>
    <w:rsid w:val="0092524C"/>
    <w:rsid w:val="009260D5"/>
    <w:rsid w:val="0092628C"/>
    <w:rsid w:val="009262BC"/>
    <w:rsid w:val="00926696"/>
    <w:rsid w:val="00927460"/>
    <w:rsid w:val="0093009F"/>
    <w:rsid w:val="00930444"/>
    <w:rsid w:val="00930CAF"/>
    <w:rsid w:val="00931AD2"/>
    <w:rsid w:val="00931B17"/>
    <w:rsid w:val="00931ED5"/>
    <w:rsid w:val="009336CC"/>
    <w:rsid w:val="00934861"/>
    <w:rsid w:val="00934A82"/>
    <w:rsid w:val="00934C50"/>
    <w:rsid w:val="00935501"/>
    <w:rsid w:val="00935C16"/>
    <w:rsid w:val="00936CEA"/>
    <w:rsid w:val="00936F2A"/>
    <w:rsid w:val="009372D7"/>
    <w:rsid w:val="00940A9D"/>
    <w:rsid w:val="00940F87"/>
    <w:rsid w:val="0094141E"/>
    <w:rsid w:val="009419C7"/>
    <w:rsid w:val="00941A62"/>
    <w:rsid w:val="009421AB"/>
    <w:rsid w:val="0094229D"/>
    <w:rsid w:val="00942B5F"/>
    <w:rsid w:val="00943DF4"/>
    <w:rsid w:val="009447BD"/>
    <w:rsid w:val="00944B37"/>
    <w:rsid w:val="00945368"/>
    <w:rsid w:val="0094544D"/>
    <w:rsid w:val="00945656"/>
    <w:rsid w:val="009477EA"/>
    <w:rsid w:val="0095073B"/>
    <w:rsid w:val="00950AD6"/>
    <w:rsid w:val="00951525"/>
    <w:rsid w:val="00951671"/>
    <w:rsid w:val="009516E4"/>
    <w:rsid w:val="00952D20"/>
    <w:rsid w:val="00953B20"/>
    <w:rsid w:val="009542E5"/>
    <w:rsid w:val="00955E16"/>
    <w:rsid w:val="00956148"/>
    <w:rsid w:val="0095623D"/>
    <w:rsid w:val="0095663C"/>
    <w:rsid w:val="00956710"/>
    <w:rsid w:val="009569D7"/>
    <w:rsid w:val="00957B28"/>
    <w:rsid w:val="00957BC9"/>
    <w:rsid w:val="00957C1D"/>
    <w:rsid w:val="00960316"/>
    <w:rsid w:val="009605DA"/>
    <w:rsid w:val="00960753"/>
    <w:rsid w:val="0096170E"/>
    <w:rsid w:val="00961F09"/>
    <w:rsid w:val="00962301"/>
    <w:rsid w:val="00962430"/>
    <w:rsid w:val="00963C59"/>
    <w:rsid w:val="00963E24"/>
    <w:rsid w:val="00963EFE"/>
    <w:rsid w:val="00965D88"/>
    <w:rsid w:val="00965EE6"/>
    <w:rsid w:val="00966478"/>
    <w:rsid w:val="00966F7D"/>
    <w:rsid w:val="00967157"/>
    <w:rsid w:val="00970249"/>
    <w:rsid w:val="0097058E"/>
    <w:rsid w:val="0097096D"/>
    <w:rsid w:val="00970E77"/>
    <w:rsid w:val="00970FF0"/>
    <w:rsid w:val="00972090"/>
    <w:rsid w:val="00972B40"/>
    <w:rsid w:val="00975135"/>
    <w:rsid w:val="009755FF"/>
    <w:rsid w:val="00975C86"/>
    <w:rsid w:val="009762A9"/>
    <w:rsid w:val="009770D8"/>
    <w:rsid w:val="0098122E"/>
    <w:rsid w:val="009814D3"/>
    <w:rsid w:val="00982D8A"/>
    <w:rsid w:val="009834F8"/>
    <w:rsid w:val="00983CA8"/>
    <w:rsid w:val="00983E63"/>
    <w:rsid w:val="00983F8A"/>
    <w:rsid w:val="009855C6"/>
    <w:rsid w:val="00987705"/>
    <w:rsid w:val="0098786D"/>
    <w:rsid w:val="00991034"/>
    <w:rsid w:val="00991322"/>
    <w:rsid w:val="0099163E"/>
    <w:rsid w:val="00991F2C"/>
    <w:rsid w:val="009943D4"/>
    <w:rsid w:val="00994731"/>
    <w:rsid w:val="00995EA0"/>
    <w:rsid w:val="009A0B05"/>
    <w:rsid w:val="009A0D8B"/>
    <w:rsid w:val="009A0DD7"/>
    <w:rsid w:val="009A2056"/>
    <w:rsid w:val="009A28C8"/>
    <w:rsid w:val="009A2CA9"/>
    <w:rsid w:val="009A3E0B"/>
    <w:rsid w:val="009A472E"/>
    <w:rsid w:val="009A5413"/>
    <w:rsid w:val="009A6280"/>
    <w:rsid w:val="009A764F"/>
    <w:rsid w:val="009B0B88"/>
    <w:rsid w:val="009B0E4D"/>
    <w:rsid w:val="009B17DB"/>
    <w:rsid w:val="009B2DA9"/>
    <w:rsid w:val="009B3067"/>
    <w:rsid w:val="009B3976"/>
    <w:rsid w:val="009B4042"/>
    <w:rsid w:val="009B5772"/>
    <w:rsid w:val="009B5981"/>
    <w:rsid w:val="009B5C3B"/>
    <w:rsid w:val="009B61E8"/>
    <w:rsid w:val="009B6635"/>
    <w:rsid w:val="009B763E"/>
    <w:rsid w:val="009B7E78"/>
    <w:rsid w:val="009C01C7"/>
    <w:rsid w:val="009C0476"/>
    <w:rsid w:val="009C169A"/>
    <w:rsid w:val="009C2367"/>
    <w:rsid w:val="009C2E52"/>
    <w:rsid w:val="009C368B"/>
    <w:rsid w:val="009C38AA"/>
    <w:rsid w:val="009C3C86"/>
    <w:rsid w:val="009C5109"/>
    <w:rsid w:val="009C6A8B"/>
    <w:rsid w:val="009C7A91"/>
    <w:rsid w:val="009D0458"/>
    <w:rsid w:val="009D2DAB"/>
    <w:rsid w:val="009D4300"/>
    <w:rsid w:val="009D4C9F"/>
    <w:rsid w:val="009D54C8"/>
    <w:rsid w:val="009D551B"/>
    <w:rsid w:val="009D591F"/>
    <w:rsid w:val="009D6EE4"/>
    <w:rsid w:val="009D76DC"/>
    <w:rsid w:val="009D7830"/>
    <w:rsid w:val="009D7A6F"/>
    <w:rsid w:val="009E08D5"/>
    <w:rsid w:val="009E0AE8"/>
    <w:rsid w:val="009E0B16"/>
    <w:rsid w:val="009E1427"/>
    <w:rsid w:val="009E225E"/>
    <w:rsid w:val="009E3EF5"/>
    <w:rsid w:val="009E45AF"/>
    <w:rsid w:val="009E74D9"/>
    <w:rsid w:val="009F0844"/>
    <w:rsid w:val="009F167C"/>
    <w:rsid w:val="009F2DAA"/>
    <w:rsid w:val="009F2FED"/>
    <w:rsid w:val="009F32A8"/>
    <w:rsid w:val="009F37CA"/>
    <w:rsid w:val="009F4715"/>
    <w:rsid w:val="009F5280"/>
    <w:rsid w:val="009F545C"/>
    <w:rsid w:val="00A00701"/>
    <w:rsid w:val="00A00BE1"/>
    <w:rsid w:val="00A011BD"/>
    <w:rsid w:val="00A02D28"/>
    <w:rsid w:val="00A04657"/>
    <w:rsid w:val="00A05879"/>
    <w:rsid w:val="00A06146"/>
    <w:rsid w:val="00A06492"/>
    <w:rsid w:val="00A0729C"/>
    <w:rsid w:val="00A102A7"/>
    <w:rsid w:val="00A1058B"/>
    <w:rsid w:val="00A1094D"/>
    <w:rsid w:val="00A109A8"/>
    <w:rsid w:val="00A10AA1"/>
    <w:rsid w:val="00A10B42"/>
    <w:rsid w:val="00A11099"/>
    <w:rsid w:val="00A1132A"/>
    <w:rsid w:val="00A11659"/>
    <w:rsid w:val="00A11F4B"/>
    <w:rsid w:val="00A12ADA"/>
    <w:rsid w:val="00A13201"/>
    <w:rsid w:val="00A132C7"/>
    <w:rsid w:val="00A13B07"/>
    <w:rsid w:val="00A1788D"/>
    <w:rsid w:val="00A17FE3"/>
    <w:rsid w:val="00A215CA"/>
    <w:rsid w:val="00A219A4"/>
    <w:rsid w:val="00A21EA1"/>
    <w:rsid w:val="00A220D9"/>
    <w:rsid w:val="00A22A1C"/>
    <w:rsid w:val="00A22A25"/>
    <w:rsid w:val="00A23977"/>
    <w:rsid w:val="00A24D8B"/>
    <w:rsid w:val="00A25DD6"/>
    <w:rsid w:val="00A26408"/>
    <w:rsid w:val="00A272DB"/>
    <w:rsid w:val="00A27670"/>
    <w:rsid w:val="00A278E4"/>
    <w:rsid w:val="00A27CC8"/>
    <w:rsid w:val="00A27F89"/>
    <w:rsid w:val="00A31394"/>
    <w:rsid w:val="00A3159F"/>
    <w:rsid w:val="00A31FC9"/>
    <w:rsid w:val="00A3380B"/>
    <w:rsid w:val="00A33A70"/>
    <w:rsid w:val="00A3402C"/>
    <w:rsid w:val="00A343EB"/>
    <w:rsid w:val="00A34BEE"/>
    <w:rsid w:val="00A36681"/>
    <w:rsid w:val="00A3735E"/>
    <w:rsid w:val="00A37F6E"/>
    <w:rsid w:val="00A406C7"/>
    <w:rsid w:val="00A41114"/>
    <w:rsid w:val="00A4403D"/>
    <w:rsid w:val="00A44651"/>
    <w:rsid w:val="00A463C0"/>
    <w:rsid w:val="00A46E5B"/>
    <w:rsid w:val="00A50B2C"/>
    <w:rsid w:val="00A50E49"/>
    <w:rsid w:val="00A5166F"/>
    <w:rsid w:val="00A51F89"/>
    <w:rsid w:val="00A52741"/>
    <w:rsid w:val="00A52BF6"/>
    <w:rsid w:val="00A536E2"/>
    <w:rsid w:val="00A5395A"/>
    <w:rsid w:val="00A53E9A"/>
    <w:rsid w:val="00A54F12"/>
    <w:rsid w:val="00A550F4"/>
    <w:rsid w:val="00A56772"/>
    <w:rsid w:val="00A5685A"/>
    <w:rsid w:val="00A56C3E"/>
    <w:rsid w:val="00A56E35"/>
    <w:rsid w:val="00A570E5"/>
    <w:rsid w:val="00A57309"/>
    <w:rsid w:val="00A60CBF"/>
    <w:rsid w:val="00A6106E"/>
    <w:rsid w:val="00A61624"/>
    <w:rsid w:val="00A61A8F"/>
    <w:rsid w:val="00A61B4C"/>
    <w:rsid w:val="00A63659"/>
    <w:rsid w:val="00A63EC4"/>
    <w:rsid w:val="00A6467F"/>
    <w:rsid w:val="00A64E2F"/>
    <w:rsid w:val="00A657C7"/>
    <w:rsid w:val="00A65E42"/>
    <w:rsid w:val="00A668AF"/>
    <w:rsid w:val="00A66908"/>
    <w:rsid w:val="00A6765B"/>
    <w:rsid w:val="00A67EAF"/>
    <w:rsid w:val="00A7169A"/>
    <w:rsid w:val="00A71860"/>
    <w:rsid w:val="00A71AF7"/>
    <w:rsid w:val="00A71E01"/>
    <w:rsid w:val="00A72151"/>
    <w:rsid w:val="00A722E2"/>
    <w:rsid w:val="00A72505"/>
    <w:rsid w:val="00A73262"/>
    <w:rsid w:val="00A73400"/>
    <w:rsid w:val="00A737B5"/>
    <w:rsid w:val="00A73D6F"/>
    <w:rsid w:val="00A73FDD"/>
    <w:rsid w:val="00A747AC"/>
    <w:rsid w:val="00A75DBA"/>
    <w:rsid w:val="00A76167"/>
    <w:rsid w:val="00A76533"/>
    <w:rsid w:val="00A80161"/>
    <w:rsid w:val="00A80469"/>
    <w:rsid w:val="00A81CD6"/>
    <w:rsid w:val="00A81DC2"/>
    <w:rsid w:val="00A82261"/>
    <w:rsid w:val="00A82CD8"/>
    <w:rsid w:val="00A83C69"/>
    <w:rsid w:val="00A85704"/>
    <w:rsid w:val="00A867C7"/>
    <w:rsid w:val="00A86C98"/>
    <w:rsid w:val="00A86F2A"/>
    <w:rsid w:val="00A878A9"/>
    <w:rsid w:val="00A90D3F"/>
    <w:rsid w:val="00A91AEB"/>
    <w:rsid w:val="00A92CEA"/>
    <w:rsid w:val="00A931C7"/>
    <w:rsid w:val="00A93EB6"/>
    <w:rsid w:val="00A95035"/>
    <w:rsid w:val="00A95736"/>
    <w:rsid w:val="00A96792"/>
    <w:rsid w:val="00A9702B"/>
    <w:rsid w:val="00A974B5"/>
    <w:rsid w:val="00A976F7"/>
    <w:rsid w:val="00A9778D"/>
    <w:rsid w:val="00A97EA8"/>
    <w:rsid w:val="00AA00A0"/>
    <w:rsid w:val="00AA00CF"/>
    <w:rsid w:val="00AA0C1A"/>
    <w:rsid w:val="00AA153E"/>
    <w:rsid w:val="00AA1F2B"/>
    <w:rsid w:val="00AA381B"/>
    <w:rsid w:val="00AA3CF9"/>
    <w:rsid w:val="00AA42B6"/>
    <w:rsid w:val="00AA435E"/>
    <w:rsid w:val="00AA4483"/>
    <w:rsid w:val="00AA4806"/>
    <w:rsid w:val="00AA4CEE"/>
    <w:rsid w:val="00AA51E1"/>
    <w:rsid w:val="00AA5637"/>
    <w:rsid w:val="00AA592B"/>
    <w:rsid w:val="00AA61FC"/>
    <w:rsid w:val="00AA62D4"/>
    <w:rsid w:val="00AA6C56"/>
    <w:rsid w:val="00AA7769"/>
    <w:rsid w:val="00AA7CE6"/>
    <w:rsid w:val="00AB0F6B"/>
    <w:rsid w:val="00AB161D"/>
    <w:rsid w:val="00AB1866"/>
    <w:rsid w:val="00AB1886"/>
    <w:rsid w:val="00AB1DD1"/>
    <w:rsid w:val="00AB299F"/>
    <w:rsid w:val="00AB3E3D"/>
    <w:rsid w:val="00AB4574"/>
    <w:rsid w:val="00AB5198"/>
    <w:rsid w:val="00AB5BF7"/>
    <w:rsid w:val="00AB5F9D"/>
    <w:rsid w:val="00AC0ED1"/>
    <w:rsid w:val="00AC258E"/>
    <w:rsid w:val="00AC2CF5"/>
    <w:rsid w:val="00AC35C4"/>
    <w:rsid w:val="00AC3CFB"/>
    <w:rsid w:val="00AC4085"/>
    <w:rsid w:val="00AC40B6"/>
    <w:rsid w:val="00AC456F"/>
    <w:rsid w:val="00AC46E9"/>
    <w:rsid w:val="00AC48FA"/>
    <w:rsid w:val="00AC4BE0"/>
    <w:rsid w:val="00AC509E"/>
    <w:rsid w:val="00AC537B"/>
    <w:rsid w:val="00AC542D"/>
    <w:rsid w:val="00AC5773"/>
    <w:rsid w:val="00AC593E"/>
    <w:rsid w:val="00AC75DA"/>
    <w:rsid w:val="00AC77F3"/>
    <w:rsid w:val="00AC79D9"/>
    <w:rsid w:val="00AD0160"/>
    <w:rsid w:val="00AD1CE5"/>
    <w:rsid w:val="00AD2265"/>
    <w:rsid w:val="00AD253A"/>
    <w:rsid w:val="00AD35BE"/>
    <w:rsid w:val="00AD3E5E"/>
    <w:rsid w:val="00AD432F"/>
    <w:rsid w:val="00AD6BB3"/>
    <w:rsid w:val="00AD6BC3"/>
    <w:rsid w:val="00AD7783"/>
    <w:rsid w:val="00AD77CD"/>
    <w:rsid w:val="00AD7BB4"/>
    <w:rsid w:val="00AE2066"/>
    <w:rsid w:val="00AE23D5"/>
    <w:rsid w:val="00AE34DC"/>
    <w:rsid w:val="00AE35BB"/>
    <w:rsid w:val="00AE3F58"/>
    <w:rsid w:val="00AE3FBB"/>
    <w:rsid w:val="00AE461A"/>
    <w:rsid w:val="00AE5007"/>
    <w:rsid w:val="00AE5112"/>
    <w:rsid w:val="00AE5244"/>
    <w:rsid w:val="00AE5CEB"/>
    <w:rsid w:val="00AE5F79"/>
    <w:rsid w:val="00AE5FE4"/>
    <w:rsid w:val="00AE6FF8"/>
    <w:rsid w:val="00AE7D73"/>
    <w:rsid w:val="00AF13C1"/>
    <w:rsid w:val="00AF13C4"/>
    <w:rsid w:val="00AF15C1"/>
    <w:rsid w:val="00AF1C16"/>
    <w:rsid w:val="00AF2272"/>
    <w:rsid w:val="00AF264A"/>
    <w:rsid w:val="00AF2688"/>
    <w:rsid w:val="00AF2B78"/>
    <w:rsid w:val="00AF2C41"/>
    <w:rsid w:val="00AF32F6"/>
    <w:rsid w:val="00AF336A"/>
    <w:rsid w:val="00AF3559"/>
    <w:rsid w:val="00AF38EC"/>
    <w:rsid w:val="00AF4234"/>
    <w:rsid w:val="00AF42C2"/>
    <w:rsid w:val="00AF431D"/>
    <w:rsid w:val="00AF44EB"/>
    <w:rsid w:val="00AF4DDD"/>
    <w:rsid w:val="00AF5339"/>
    <w:rsid w:val="00AF54D6"/>
    <w:rsid w:val="00AF6D12"/>
    <w:rsid w:val="00AF7283"/>
    <w:rsid w:val="00AF7410"/>
    <w:rsid w:val="00B005E1"/>
    <w:rsid w:val="00B0161F"/>
    <w:rsid w:val="00B01A42"/>
    <w:rsid w:val="00B01B9A"/>
    <w:rsid w:val="00B01D81"/>
    <w:rsid w:val="00B02262"/>
    <w:rsid w:val="00B0440F"/>
    <w:rsid w:val="00B04514"/>
    <w:rsid w:val="00B07642"/>
    <w:rsid w:val="00B10571"/>
    <w:rsid w:val="00B117E6"/>
    <w:rsid w:val="00B11938"/>
    <w:rsid w:val="00B1271F"/>
    <w:rsid w:val="00B13B12"/>
    <w:rsid w:val="00B13D8B"/>
    <w:rsid w:val="00B1484C"/>
    <w:rsid w:val="00B14A03"/>
    <w:rsid w:val="00B15478"/>
    <w:rsid w:val="00B156B3"/>
    <w:rsid w:val="00B15ECD"/>
    <w:rsid w:val="00B1616F"/>
    <w:rsid w:val="00B1782F"/>
    <w:rsid w:val="00B17A93"/>
    <w:rsid w:val="00B20950"/>
    <w:rsid w:val="00B20A8B"/>
    <w:rsid w:val="00B21A94"/>
    <w:rsid w:val="00B221A0"/>
    <w:rsid w:val="00B223D8"/>
    <w:rsid w:val="00B23841"/>
    <w:rsid w:val="00B239B1"/>
    <w:rsid w:val="00B23E40"/>
    <w:rsid w:val="00B242AA"/>
    <w:rsid w:val="00B24F96"/>
    <w:rsid w:val="00B25085"/>
    <w:rsid w:val="00B264A0"/>
    <w:rsid w:val="00B2654C"/>
    <w:rsid w:val="00B2713A"/>
    <w:rsid w:val="00B27343"/>
    <w:rsid w:val="00B27F3D"/>
    <w:rsid w:val="00B27F87"/>
    <w:rsid w:val="00B30496"/>
    <w:rsid w:val="00B3143D"/>
    <w:rsid w:val="00B31962"/>
    <w:rsid w:val="00B31BA5"/>
    <w:rsid w:val="00B3214D"/>
    <w:rsid w:val="00B321A9"/>
    <w:rsid w:val="00B323A7"/>
    <w:rsid w:val="00B32E48"/>
    <w:rsid w:val="00B33E92"/>
    <w:rsid w:val="00B34FF0"/>
    <w:rsid w:val="00B355DB"/>
    <w:rsid w:val="00B35A54"/>
    <w:rsid w:val="00B37AF1"/>
    <w:rsid w:val="00B37DC7"/>
    <w:rsid w:val="00B40D7A"/>
    <w:rsid w:val="00B410D1"/>
    <w:rsid w:val="00B41BA9"/>
    <w:rsid w:val="00B4317D"/>
    <w:rsid w:val="00B4445A"/>
    <w:rsid w:val="00B454F7"/>
    <w:rsid w:val="00B45E05"/>
    <w:rsid w:val="00B4633E"/>
    <w:rsid w:val="00B47418"/>
    <w:rsid w:val="00B47865"/>
    <w:rsid w:val="00B50668"/>
    <w:rsid w:val="00B5066A"/>
    <w:rsid w:val="00B50A94"/>
    <w:rsid w:val="00B513FC"/>
    <w:rsid w:val="00B52E3D"/>
    <w:rsid w:val="00B53831"/>
    <w:rsid w:val="00B53851"/>
    <w:rsid w:val="00B5393A"/>
    <w:rsid w:val="00B53B42"/>
    <w:rsid w:val="00B542FD"/>
    <w:rsid w:val="00B545C0"/>
    <w:rsid w:val="00B547CD"/>
    <w:rsid w:val="00B55C06"/>
    <w:rsid w:val="00B561F7"/>
    <w:rsid w:val="00B56427"/>
    <w:rsid w:val="00B56546"/>
    <w:rsid w:val="00B56613"/>
    <w:rsid w:val="00B56756"/>
    <w:rsid w:val="00B57F4A"/>
    <w:rsid w:val="00B6060F"/>
    <w:rsid w:val="00B61281"/>
    <w:rsid w:val="00B62424"/>
    <w:rsid w:val="00B6336D"/>
    <w:rsid w:val="00B634B8"/>
    <w:rsid w:val="00B63DA8"/>
    <w:rsid w:val="00B641F2"/>
    <w:rsid w:val="00B644DC"/>
    <w:rsid w:val="00B64F28"/>
    <w:rsid w:val="00B653B1"/>
    <w:rsid w:val="00B653FD"/>
    <w:rsid w:val="00B66374"/>
    <w:rsid w:val="00B66B99"/>
    <w:rsid w:val="00B678BB"/>
    <w:rsid w:val="00B70DF2"/>
    <w:rsid w:val="00B70F62"/>
    <w:rsid w:val="00B70FA0"/>
    <w:rsid w:val="00B71249"/>
    <w:rsid w:val="00B713BC"/>
    <w:rsid w:val="00B71E1E"/>
    <w:rsid w:val="00B724B0"/>
    <w:rsid w:val="00B7368D"/>
    <w:rsid w:val="00B74832"/>
    <w:rsid w:val="00B7509B"/>
    <w:rsid w:val="00B75B0B"/>
    <w:rsid w:val="00B760F2"/>
    <w:rsid w:val="00B764C8"/>
    <w:rsid w:val="00B769C2"/>
    <w:rsid w:val="00B76D41"/>
    <w:rsid w:val="00B77279"/>
    <w:rsid w:val="00B77599"/>
    <w:rsid w:val="00B776D5"/>
    <w:rsid w:val="00B81A4F"/>
    <w:rsid w:val="00B81DF8"/>
    <w:rsid w:val="00B83744"/>
    <w:rsid w:val="00B83A50"/>
    <w:rsid w:val="00B83DA7"/>
    <w:rsid w:val="00B8448E"/>
    <w:rsid w:val="00B854F3"/>
    <w:rsid w:val="00B857C1"/>
    <w:rsid w:val="00B87991"/>
    <w:rsid w:val="00B92559"/>
    <w:rsid w:val="00B92A4C"/>
    <w:rsid w:val="00B92C61"/>
    <w:rsid w:val="00B92D47"/>
    <w:rsid w:val="00B94A20"/>
    <w:rsid w:val="00B94B88"/>
    <w:rsid w:val="00B94C2B"/>
    <w:rsid w:val="00B94EE3"/>
    <w:rsid w:val="00B951DB"/>
    <w:rsid w:val="00B953A2"/>
    <w:rsid w:val="00B9664E"/>
    <w:rsid w:val="00B9731D"/>
    <w:rsid w:val="00B97FD5"/>
    <w:rsid w:val="00BA010A"/>
    <w:rsid w:val="00BA0A85"/>
    <w:rsid w:val="00BA0FBF"/>
    <w:rsid w:val="00BA14BD"/>
    <w:rsid w:val="00BA1CF3"/>
    <w:rsid w:val="00BA2146"/>
    <w:rsid w:val="00BA2416"/>
    <w:rsid w:val="00BA2602"/>
    <w:rsid w:val="00BA2E6D"/>
    <w:rsid w:val="00BA433F"/>
    <w:rsid w:val="00BA47AA"/>
    <w:rsid w:val="00BA4EE9"/>
    <w:rsid w:val="00BA511D"/>
    <w:rsid w:val="00BA5167"/>
    <w:rsid w:val="00BA5837"/>
    <w:rsid w:val="00BA5F86"/>
    <w:rsid w:val="00BA6162"/>
    <w:rsid w:val="00BA7587"/>
    <w:rsid w:val="00BA797C"/>
    <w:rsid w:val="00BB0107"/>
    <w:rsid w:val="00BB0EEC"/>
    <w:rsid w:val="00BB1B79"/>
    <w:rsid w:val="00BB2ECA"/>
    <w:rsid w:val="00BB2F3B"/>
    <w:rsid w:val="00BB467E"/>
    <w:rsid w:val="00BB472F"/>
    <w:rsid w:val="00BB4BC0"/>
    <w:rsid w:val="00BB631A"/>
    <w:rsid w:val="00BB686D"/>
    <w:rsid w:val="00BB7178"/>
    <w:rsid w:val="00BB741B"/>
    <w:rsid w:val="00BC0EDF"/>
    <w:rsid w:val="00BC29E7"/>
    <w:rsid w:val="00BC29FB"/>
    <w:rsid w:val="00BC2D20"/>
    <w:rsid w:val="00BC2DF6"/>
    <w:rsid w:val="00BC2EFB"/>
    <w:rsid w:val="00BC321F"/>
    <w:rsid w:val="00BC37B9"/>
    <w:rsid w:val="00BC37E1"/>
    <w:rsid w:val="00BC425D"/>
    <w:rsid w:val="00BC5F0D"/>
    <w:rsid w:val="00BC5F55"/>
    <w:rsid w:val="00BC65F9"/>
    <w:rsid w:val="00BC6822"/>
    <w:rsid w:val="00BC76C1"/>
    <w:rsid w:val="00BC772C"/>
    <w:rsid w:val="00BD057E"/>
    <w:rsid w:val="00BD073D"/>
    <w:rsid w:val="00BD106E"/>
    <w:rsid w:val="00BD2582"/>
    <w:rsid w:val="00BD2BD5"/>
    <w:rsid w:val="00BD331B"/>
    <w:rsid w:val="00BD4737"/>
    <w:rsid w:val="00BD54BE"/>
    <w:rsid w:val="00BD6EF2"/>
    <w:rsid w:val="00BD75BE"/>
    <w:rsid w:val="00BE00CD"/>
    <w:rsid w:val="00BE093D"/>
    <w:rsid w:val="00BE0D5E"/>
    <w:rsid w:val="00BE0F9D"/>
    <w:rsid w:val="00BE2671"/>
    <w:rsid w:val="00BE2C38"/>
    <w:rsid w:val="00BE30BB"/>
    <w:rsid w:val="00BE31CA"/>
    <w:rsid w:val="00BE38FC"/>
    <w:rsid w:val="00BE3A61"/>
    <w:rsid w:val="00BE48EA"/>
    <w:rsid w:val="00BE4DD6"/>
    <w:rsid w:val="00BE5803"/>
    <w:rsid w:val="00BE5D64"/>
    <w:rsid w:val="00BE6386"/>
    <w:rsid w:val="00BE6B83"/>
    <w:rsid w:val="00BE6CB0"/>
    <w:rsid w:val="00BE76CC"/>
    <w:rsid w:val="00BF01E2"/>
    <w:rsid w:val="00BF0A6B"/>
    <w:rsid w:val="00BF13FE"/>
    <w:rsid w:val="00BF140B"/>
    <w:rsid w:val="00BF17B7"/>
    <w:rsid w:val="00BF1EE5"/>
    <w:rsid w:val="00BF1F01"/>
    <w:rsid w:val="00BF2373"/>
    <w:rsid w:val="00BF2A0C"/>
    <w:rsid w:val="00BF38C2"/>
    <w:rsid w:val="00BF3A90"/>
    <w:rsid w:val="00BF43C4"/>
    <w:rsid w:val="00BF4910"/>
    <w:rsid w:val="00BF4E6C"/>
    <w:rsid w:val="00BF5691"/>
    <w:rsid w:val="00BF76B1"/>
    <w:rsid w:val="00BF7F13"/>
    <w:rsid w:val="00C00A5B"/>
    <w:rsid w:val="00C012B8"/>
    <w:rsid w:val="00C0186C"/>
    <w:rsid w:val="00C01898"/>
    <w:rsid w:val="00C021F9"/>
    <w:rsid w:val="00C03529"/>
    <w:rsid w:val="00C03F82"/>
    <w:rsid w:val="00C041B8"/>
    <w:rsid w:val="00C04246"/>
    <w:rsid w:val="00C04A90"/>
    <w:rsid w:val="00C04FCD"/>
    <w:rsid w:val="00C05406"/>
    <w:rsid w:val="00C05820"/>
    <w:rsid w:val="00C05E9A"/>
    <w:rsid w:val="00C05F3B"/>
    <w:rsid w:val="00C067B6"/>
    <w:rsid w:val="00C06B80"/>
    <w:rsid w:val="00C07507"/>
    <w:rsid w:val="00C1016C"/>
    <w:rsid w:val="00C10A57"/>
    <w:rsid w:val="00C119C6"/>
    <w:rsid w:val="00C11E30"/>
    <w:rsid w:val="00C1213A"/>
    <w:rsid w:val="00C12533"/>
    <w:rsid w:val="00C127CF"/>
    <w:rsid w:val="00C12CFD"/>
    <w:rsid w:val="00C1372A"/>
    <w:rsid w:val="00C13FF7"/>
    <w:rsid w:val="00C15E14"/>
    <w:rsid w:val="00C16AB0"/>
    <w:rsid w:val="00C16C50"/>
    <w:rsid w:val="00C1777B"/>
    <w:rsid w:val="00C20072"/>
    <w:rsid w:val="00C20A8D"/>
    <w:rsid w:val="00C21083"/>
    <w:rsid w:val="00C21163"/>
    <w:rsid w:val="00C21957"/>
    <w:rsid w:val="00C21A7F"/>
    <w:rsid w:val="00C21D03"/>
    <w:rsid w:val="00C22E70"/>
    <w:rsid w:val="00C2309B"/>
    <w:rsid w:val="00C23568"/>
    <w:rsid w:val="00C242C4"/>
    <w:rsid w:val="00C24B55"/>
    <w:rsid w:val="00C2502B"/>
    <w:rsid w:val="00C250A9"/>
    <w:rsid w:val="00C25E6F"/>
    <w:rsid w:val="00C262EF"/>
    <w:rsid w:val="00C2671E"/>
    <w:rsid w:val="00C274DF"/>
    <w:rsid w:val="00C3154A"/>
    <w:rsid w:val="00C33A44"/>
    <w:rsid w:val="00C344A4"/>
    <w:rsid w:val="00C3466C"/>
    <w:rsid w:val="00C402E3"/>
    <w:rsid w:val="00C40E79"/>
    <w:rsid w:val="00C41B37"/>
    <w:rsid w:val="00C4250E"/>
    <w:rsid w:val="00C42E13"/>
    <w:rsid w:val="00C44050"/>
    <w:rsid w:val="00C45852"/>
    <w:rsid w:val="00C45F0F"/>
    <w:rsid w:val="00C46130"/>
    <w:rsid w:val="00C47106"/>
    <w:rsid w:val="00C47D9C"/>
    <w:rsid w:val="00C47F9F"/>
    <w:rsid w:val="00C5053C"/>
    <w:rsid w:val="00C50C64"/>
    <w:rsid w:val="00C50D77"/>
    <w:rsid w:val="00C511DF"/>
    <w:rsid w:val="00C529FF"/>
    <w:rsid w:val="00C53119"/>
    <w:rsid w:val="00C53DE5"/>
    <w:rsid w:val="00C5455E"/>
    <w:rsid w:val="00C55267"/>
    <w:rsid w:val="00C5541C"/>
    <w:rsid w:val="00C55661"/>
    <w:rsid w:val="00C56B76"/>
    <w:rsid w:val="00C56D3B"/>
    <w:rsid w:val="00C619EA"/>
    <w:rsid w:val="00C61F45"/>
    <w:rsid w:val="00C63A06"/>
    <w:rsid w:val="00C63B3B"/>
    <w:rsid w:val="00C6468B"/>
    <w:rsid w:val="00C64BAD"/>
    <w:rsid w:val="00C64F48"/>
    <w:rsid w:val="00C650F0"/>
    <w:rsid w:val="00C6551A"/>
    <w:rsid w:val="00C65C37"/>
    <w:rsid w:val="00C663A0"/>
    <w:rsid w:val="00C66E16"/>
    <w:rsid w:val="00C7002D"/>
    <w:rsid w:val="00C7051D"/>
    <w:rsid w:val="00C730BC"/>
    <w:rsid w:val="00C731C4"/>
    <w:rsid w:val="00C73C1B"/>
    <w:rsid w:val="00C745CD"/>
    <w:rsid w:val="00C745DB"/>
    <w:rsid w:val="00C74A00"/>
    <w:rsid w:val="00C74A55"/>
    <w:rsid w:val="00C75684"/>
    <w:rsid w:val="00C75F85"/>
    <w:rsid w:val="00C776A7"/>
    <w:rsid w:val="00C8034A"/>
    <w:rsid w:val="00C80373"/>
    <w:rsid w:val="00C8057D"/>
    <w:rsid w:val="00C80F61"/>
    <w:rsid w:val="00C8150F"/>
    <w:rsid w:val="00C832D8"/>
    <w:rsid w:val="00C83746"/>
    <w:rsid w:val="00C83E51"/>
    <w:rsid w:val="00C84037"/>
    <w:rsid w:val="00C84306"/>
    <w:rsid w:val="00C84984"/>
    <w:rsid w:val="00C85F20"/>
    <w:rsid w:val="00C86E60"/>
    <w:rsid w:val="00C8728F"/>
    <w:rsid w:val="00C87BDC"/>
    <w:rsid w:val="00C87E99"/>
    <w:rsid w:val="00C90821"/>
    <w:rsid w:val="00C90B33"/>
    <w:rsid w:val="00C90BCA"/>
    <w:rsid w:val="00C91858"/>
    <w:rsid w:val="00C92D3F"/>
    <w:rsid w:val="00C92E2F"/>
    <w:rsid w:val="00C934E0"/>
    <w:rsid w:val="00C935D7"/>
    <w:rsid w:val="00C93D15"/>
    <w:rsid w:val="00C94FC9"/>
    <w:rsid w:val="00C950E3"/>
    <w:rsid w:val="00C95FBF"/>
    <w:rsid w:val="00C960CC"/>
    <w:rsid w:val="00C9615C"/>
    <w:rsid w:val="00C96563"/>
    <w:rsid w:val="00C97271"/>
    <w:rsid w:val="00C975F8"/>
    <w:rsid w:val="00C97684"/>
    <w:rsid w:val="00C979AC"/>
    <w:rsid w:val="00CA1DD4"/>
    <w:rsid w:val="00CA21CA"/>
    <w:rsid w:val="00CA25D0"/>
    <w:rsid w:val="00CA2778"/>
    <w:rsid w:val="00CA295A"/>
    <w:rsid w:val="00CA2E11"/>
    <w:rsid w:val="00CA3BC4"/>
    <w:rsid w:val="00CA4544"/>
    <w:rsid w:val="00CA4862"/>
    <w:rsid w:val="00CA57BB"/>
    <w:rsid w:val="00CA7815"/>
    <w:rsid w:val="00CA7A42"/>
    <w:rsid w:val="00CA7FDB"/>
    <w:rsid w:val="00CB0DEB"/>
    <w:rsid w:val="00CB17B0"/>
    <w:rsid w:val="00CB2322"/>
    <w:rsid w:val="00CB30A3"/>
    <w:rsid w:val="00CB3C2C"/>
    <w:rsid w:val="00CB45E0"/>
    <w:rsid w:val="00CB4DA4"/>
    <w:rsid w:val="00CB4EA1"/>
    <w:rsid w:val="00CB5CD4"/>
    <w:rsid w:val="00CB63E6"/>
    <w:rsid w:val="00CB76C9"/>
    <w:rsid w:val="00CC0DE2"/>
    <w:rsid w:val="00CC1382"/>
    <w:rsid w:val="00CC1A7B"/>
    <w:rsid w:val="00CC1C27"/>
    <w:rsid w:val="00CC2098"/>
    <w:rsid w:val="00CC245E"/>
    <w:rsid w:val="00CC2A11"/>
    <w:rsid w:val="00CC2D89"/>
    <w:rsid w:val="00CC3267"/>
    <w:rsid w:val="00CC3AF3"/>
    <w:rsid w:val="00CC41A5"/>
    <w:rsid w:val="00CC5C89"/>
    <w:rsid w:val="00CC5D59"/>
    <w:rsid w:val="00CC74B2"/>
    <w:rsid w:val="00CC7A5C"/>
    <w:rsid w:val="00CD11A4"/>
    <w:rsid w:val="00CD1482"/>
    <w:rsid w:val="00CD275D"/>
    <w:rsid w:val="00CD3273"/>
    <w:rsid w:val="00CD3DFF"/>
    <w:rsid w:val="00CD4AEF"/>
    <w:rsid w:val="00CD4E73"/>
    <w:rsid w:val="00CD5815"/>
    <w:rsid w:val="00CD5B1E"/>
    <w:rsid w:val="00CD70CE"/>
    <w:rsid w:val="00CD778B"/>
    <w:rsid w:val="00CE0E76"/>
    <w:rsid w:val="00CE1F41"/>
    <w:rsid w:val="00CE2665"/>
    <w:rsid w:val="00CE26ED"/>
    <w:rsid w:val="00CE2A1C"/>
    <w:rsid w:val="00CE3900"/>
    <w:rsid w:val="00CE422F"/>
    <w:rsid w:val="00CE43AC"/>
    <w:rsid w:val="00CE44AA"/>
    <w:rsid w:val="00CE485D"/>
    <w:rsid w:val="00CE4DBF"/>
    <w:rsid w:val="00CF0000"/>
    <w:rsid w:val="00CF023E"/>
    <w:rsid w:val="00CF0D87"/>
    <w:rsid w:val="00CF11D0"/>
    <w:rsid w:val="00CF17AA"/>
    <w:rsid w:val="00CF17FF"/>
    <w:rsid w:val="00CF290D"/>
    <w:rsid w:val="00CF2B97"/>
    <w:rsid w:val="00CF2C21"/>
    <w:rsid w:val="00CF2C71"/>
    <w:rsid w:val="00CF3100"/>
    <w:rsid w:val="00CF31D0"/>
    <w:rsid w:val="00CF4781"/>
    <w:rsid w:val="00CF4AA9"/>
    <w:rsid w:val="00CF5205"/>
    <w:rsid w:val="00CF62BA"/>
    <w:rsid w:val="00CF6866"/>
    <w:rsid w:val="00CF72CB"/>
    <w:rsid w:val="00CF73AC"/>
    <w:rsid w:val="00CF79D5"/>
    <w:rsid w:val="00D01237"/>
    <w:rsid w:val="00D015DA"/>
    <w:rsid w:val="00D01F22"/>
    <w:rsid w:val="00D0227D"/>
    <w:rsid w:val="00D026D4"/>
    <w:rsid w:val="00D02FC6"/>
    <w:rsid w:val="00D032E5"/>
    <w:rsid w:val="00D035A5"/>
    <w:rsid w:val="00D0486B"/>
    <w:rsid w:val="00D049C3"/>
    <w:rsid w:val="00D054F1"/>
    <w:rsid w:val="00D06D32"/>
    <w:rsid w:val="00D07A4F"/>
    <w:rsid w:val="00D102DA"/>
    <w:rsid w:val="00D118D3"/>
    <w:rsid w:val="00D12592"/>
    <w:rsid w:val="00D1298D"/>
    <w:rsid w:val="00D12D9F"/>
    <w:rsid w:val="00D12E1C"/>
    <w:rsid w:val="00D13483"/>
    <w:rsid w:val="00D134FF"/>
    <w:rsid w:val="00D137AB"/>
    <w:rsid w:val="00D13F1F"/>
    <w:rsid w:val="00D14783"/>
    <w:rsid w:val="00D1582A"/>
    <w:rsid w:val="00D1601C"/>
    <w:rsid w:val="00D20849"/>
    <w:rsid w:val="00D21667"/>
    <w:rsid w:val="00D216F1"/>
    <w:rsid w:val="00D217AD"/>
    <w:rsid w:val="00D21B92"/>
    <w:rsid w:val="00D22B15"/>
    <w:rsid w:val="00D2316D"/>
    <w:rsid w:val="00D23D1B"/>
    <w:rsid w:val="00D24D42"/>
    <w:rsid w:val="00D2615D"/>
    <w:rsid w:val="00D27DD7"/>
    <w:rsid w:val="00D303A3"/>
    <w:rsid w:val="00D30469"/>
    <w:rsid w:val="00D31107"/>
    <w:rsid w:val="00D31993"/>
    <w:rsid w:val="00D31ADE"/>
    <w:rsid w:val="00D31D71"/>
    <w:rsid w:val="00D3266A"/>
    <w:rsid w:val="00D32884"/>
    <w:rsid w:val="00D3420F"/>
    <w:rsid w:val="00D371F3"/>
    <w:rsid w:val="00D3733D"/>
    <w:rsid w:val="00D37B43"/>
    <w:rsid w:val="00D40F10"/>
    <w:rsid w:val="00D428A4"/>
    <w:rsid w:val="00D429D3"/>
    <w:rsid w:val="00D42D3C"/>
    <w:rsid w:val="00D437E6"/>
    <w:rsid w:val="00D444B0"/>
    <w:rsid w:val="00D44ED2"/>
    <w:rsid w:val="00D45140"/>
    <w:rsid w:val="00D45449"/>
    <w:rsid w:val="00D45AE6"/>
    <w:rsid w:val="00D45F1E"/>
    <w:rsid w:val="00D461C0"/>
    <w:rsid w:val="00D462AF"/>
    <w:rsid w:val="00D46635"/>
    <w:rsid w:val="00D46C9F"/>
    <w:rsid w:val="00D51005"/>
    <w:rsid w:val="00D518A1"/>
    <w:rsid w:val="00D51914"/>
    <w:rsid w:val="00D51E6A"/>
    <w:rsid w:val="00D522F1"/>
    <w:rsid w:val="00D53400"/>
    <w:rsid w:val="00D541C3"/>
    <w:rsid w:val="00D54A6F"/>
    <w:rsid w:val="00D552B2"/>
    <w:rsid w:val="00D5593D"/>
    <w:rsid w:val="00D55AF9"/>
    <w:rsid w:val="00D55DC7"/>
    <w:rsid w:val="00D56DA1"/>
    <w:rsid w:val="00D61467"/>
    <w:rsid w:val="00D6239A"/>
    <w:rsid w:val="00D62A32"/>
    <w:rsid w:val="00D630FF"/>
    <w:rsid w:val="00D6343D"/>
    <w:rsid w:val="00D63C66"/>
    <w:rsid w:val="00D64001"/>
    <w:rsid w:val="00D65035"/>
    <w:rsid w:val="00D65285"/>
    <w:rsid w:val="00D6556D"/>
    <w:rsid w:val="00D658D2"/>
    <w:rsid w:val="00D65D53"/>
    <w:rsid w:val="00D65EBC"/>
    <w:rsid w:val="00D668F7"/>
    <w:rsid w:val="00D66C63"/>
    <w:rsid w:val="00D67120"/>
    <w:rsid w:val="00D671E5"/>
    <w:rsid w:val="00D67340"/>
    <w:rsid w:val="00D70A2B"/>
    <w:rsid w:val="00D728FD"/>
    <w:rsid w:val="00D740A2"/>
    <w:rsid w:val="00D7516D"/>
    <w:rsid w:val="00D75C58"/>
    <w:rsid w:val="00D75E1B"/>
    <w:rsid w:val="00D7642F"/>
    <w:rsid w:val="00D76BA5"/>
    <w:rsid w:val="00D76F86"/>
    <w:rsid w:val="00D774D3"/>
    <w:rsid w:val="00D77756"/>
    <w:rsid w:val="00D8037C"/>
    <w:rsid w:val="00D817E9"/>
    <w:rsid w:val="00D82B56"/>
    <w:rsid w:val="00D83018"/>
    <w:rsid w:val="00D837C9"/>
    <w:rsid w:val="00D83A04"/>
    <w:rsid w:val="00D84CA3"/>
    <w:rsid w:val="00D85AA4"/>
    <w:rsid w:val="00D85EC6"/>
    <w:rsid w:val="00D86D77"/>
    <w:rsid w:val="00D86F61"/>
    <w:rsid w:val="00D9080E"/>
    <w:rsid w:val="00D90BBE"/>
    <w:rsid w:val="00D92F46"/>
    <w:rsid w:val="00D931FA"/>
    <w:rsid w:val="00D93D6F"/>
    <w:rsid w:val="00D9404C"/>
    <w:rsid w:val="00D942C3"/>
    <w:rsid w:val="00D94797"/>
    <w:rsid w:val="00D9535F"/>
    <w:rsid w:val="00D954FA"/>
    <w:rsid w:val="00D957BD"/>
    <w:rsid w:val="00D95B54"/>
    <w:rsid w:val="00D966FB"/>
    <w:rsid w:val="00D97350"/>
    <w:rsid w:val="00D973B5"/>
    <w:rsid w:val="00DA0884"/>
    <w:rsid w:val="00DA0EF0"/>
    <w:rsid w:val="00DA2776"/>
    <w:rsid w:val="00DA34D8"/>
    <w:rsid w:val="00DA3655"/>
    <w:rsid w:val="00DA5A57"/>
    <w:rsid w:val="00DA5C58"/>
    <w:rsid w:val="00DA6247"/>
    <w:rsid w:val="00DA63A7"/>
    <w:rsid w:val="00DA7836"/>
    <w:rsid w:val="00DA7AEA"/>
    <w:rsid w:val="00DA7CA7"/>
    <w:rsid w:val="00DB1253"/>
    <w:rsid w:val="00DB1483"/>
    <w:rsid w:val="00DB17B9"/>
    <w:rsid w:val="00DB254A"/>
    <w:rsid w:val="00DB2B78"/>
    <w:rsid w:val="00DB2D72"/>
    <w:rsid w:val="00DB2E08"/>
    <w:rsid w:val="00DB3B85"/>
    <w:rsid w:val="00DB404D"/>
    <w:rsid w:val="00DB4765"/>
    <w:rsid w:val="00DB4F94"/>
    <w:rsid w:val="00DB5413"/>
    <w:rsid w:val="00DB6BE0"/>
    <w:rsid w:val="00DB7A57"/>
    <w:rsid w:val="00DB7F02"/>
    <w:rsid w:val="00DC13FD"/>
    <w:rsid w:val="00DC1C49"/>
    <w:rsid w:val="00DC25B8"/>
    <w:rsid w:val="00DC25E9"/>
    <w:rsid w:val="00DC2632"/>
    <w:rsid w:val="00DC2E97"/>
    <w:rsid w:val="00DC3549"/>
    <w:rsid w:val="00DC4204"/>
    <w:rsid w:val="00DC4D05"/>
    <w:rsid w:val="00DC5C8E"/>
    <w:rsid w:val="00DC602B"/>
    <w:rsid w:val="00DC6937"/>
    <w:rsid w:val="00DC77BE"/>
    <w:rsid w:val="00DC7C22"/>
    <w:rsid w:val="00DD00E3"/>
    <w:rsid w:val="00DD038F"/>
    <w:rsid w:val="00DD0DFD"/>
    <w:rsid w:val="00DD1AE6"/>
    <w:rsid w:val="00DD2834"/>
    <w:rsid w:val="00DD345A"/>
    <w:rsid w:val="00DD3A55"/>
    <w:rsid w:val="00DD3F6F"/>
    <w:rsid w:val="00DD4C4D"/>
    <w:rsid w:val="00DD522C"/>
    <w:rsid w:val="00DD5529"/>
    <w:rsid w:val="00DD5BCE"/>
    <w:rsid w:val="00DD6A70"/>
    <w:rsid w:val="00DD73FC"/>
    <w:rsid w:val="00DD7755"/>
    <w:rsid w:val="00DD7CF0"/>
    <w:rsid w:val="00DE0778"/>
    <w:rsid w:val="00DE0867"/>
    <w:rsid w:val="00DE129C"/>
    <w:rsid w:val="00DE135B"/>
    <w:rsid w:val="00DE1736"/>
    <w:rsid w:val="00DE1FF5"/>
    <w:rsid w:val="00DE2B05"/>
    <w:rsid w:val="00DE3497"/>
    <w:rsid w:val="00DE487E"/>
    <w:rsid w:val="00DE618D"/>
    <w:rsid w:val="00DE64BB"/>
    <w:rsid w:val="00DE6952"/>
    <w:rsid w:val="00DE72CA"/>
    <w:rsid w:val="00DF0C7B"/>
    <w:rsid w:val="00DF26EA"/>
    <w:rsid w:val="00DF2A12"/>
    <w:rsid w:val="00DF3D2D"/>
    <w:rsid w:val="00DF4605"/>
    <w:rsid w:val="00DF4C0E"/>
    <w:rsid w:val="00DF4EB3"/>
    <w:rsid w:val="00DF5084"/>
    <w:rsid w:val="00DF5370"/>
    <w:rsid w:val="00DF5CD4"/>
    <w:rsid w:val="00DF7626"/>
    <w:rsid w:val="00E0093C"/>
    <w:rsid w:val="00E018E6"/>
    <w:rsid w:val="00E01CE5"/>
    <w:rsid w:val="00E021E0"/>
    <w:rsid w:val="00E023CE"/>
    <w:rsid w:val="00E026E7"/>
    <w:rsid w:val="00E02CC6"/>
    <w:rsid w:val="00E030B1"/>
    <w:rsid w:val="00E031C8"/>
    <w:rsid w:val="00E035D8"/>
    <w:rsid w:val="00E03C9A"/>
    <w:rsid w:val="00E0484E"/>
    <w:rsid w:val="00E04E29"/>
    <w:rsid w:val="00E050BC"/>
    <w:rsid w:val="00E05520"/>
    <w:rsid w:val="00E0666B"/>
    <w:rsid w:val="00E0692F"/>
    <w:rsid w:val="00E06D77"/>
    <w:rsid w:val="00E06F26"/>
    <w:rsid w:val="00E07440"/>
    <w:rsid w:val="00E0763C"/>
    <w:rsid w:val="00E10901"/>
    <w:rsid w:val="00E109A8"/>
    <w:rsid w:val="00E10D38"/>
    <w:rsid w:val="00E11B76"/>
    <w:rsid w:val="00E11E9A"/>
    <w:rsid w:val="00E1454B"/>
    <w:rsid w:val="00E14552"/>
    <w:rsid w:val="00E146BB"/>
    <w:rsid w:val="00E14967"/>
    <w:rsid w:val="00E14CFF"/>
    <w:rsid w:val="00E15785"/>
    <w:rsid w:val="00E15AEB"/>
    <w:rsid w:val="00E1627D"/>
    <w:rsid w:val="00E16AF4"/>
    <w:rsid w:val="00E16BD5"/>
    <w:rsid w:val="00E17D63"/>
    <w:rsid w:val="00E20247"/>
    <w:rsid w:val="00E20736"/>
    <w:rsid w:val="00E20FF3"/>
    <w:rsid w:val="00E226ED"/>
    <w:rsid w:val="00E240B2"/>
    <w:rsid w:val="00E240FF"/>
    <w:rsid w:val="00E2426D"/>
    <w:rsid w:val="00E24400"/>
    <w:rsid w:val="00E257B7"/>
    <w:rsid w:val="00E26299"/>
    <w:rsid w:val="00E26539"/>
    <w:rsid w:val="00E27697"/>
    <w:rsid w:val="00E27984"/>
    <w:rsid w:val="00E27E17"/>
    <w:rsid w:val="00E30AF6"/>
    <w:rsid w:val="00E30DBE"/>
    <w:rsid w:val="00E3543C"/>
    <w:rsid w:val="00E36736"/>
    <w:rsid w:val="00E36785"/>
    <w:rsid w:val="00E369A6"/>
    <w:rsid w:val="00E36C92"/>
    <w:rsid w:val="00E4046D"/>
    <w:rsid w:val="00E40A62"/>
    <w:rsid w:val="00E4201E"/>
    <w:rsid w:val="00E44989"/>
    <w:rsid w:val="00E44ECB"/>
    <w:rsid w:val="00E4532C"/>
    <w:rsid w:val="00E45A5A"/>
    <w:rsid w:val="00E46F02"/>
    <w:rsid w:val="00E4710F"/>
    <w:rsid w:val="00E47289"/>
    <w:rsid w:val="00E47A42"/>
    <w:rsid w:val="00E500FA"/>
    <w:rsid w:val="00E5278A"/>
    <w:rsid w:val="00E52CEC"/>
    <w:rsid w:val="00E53AD1"/>
    <w:rsid w:val="00E53D23"/>
    <w:rsid w:val="00E5408A"/>
    <w:rsid w:val="00E54C61"/>
    <w:rsid w:val="00E5567E"/>
    <w:rsid w:val="00E55E45"/>
    <w:rsid w:val="00E56D95"/>
    <w:rsid w:val="00E571F7"/>
    <w:rsid w:val="00E5768E"/>
    <w:rsid w:val="00E601B9"/>
    <w:rsid w:val="00E603A9"/>
    <w:rsid w:val="00E614EA"/>
    <w:rsid w:val="00E6228B"/>
    <w:rsid w:val="00E62F05"/>
    <w:rsid w:val="00E630AE"/>
    <w:rsid w:val="00E63A9E"/>
    <w:rsid w:val="00E64E9F"/>
    <w:rsid w:val="00E651DF"/>
    <w:rsid w:val="00E656F8"/>
    <w:rsid w:val="00E65ED7"/>
    <w:rsid w:val="00E66DAB"/>
    <w:rsid w:val="00E66DD9"/>
    <w:rsid w:val="00E7096C"/>
    <w:rsid w:val="00E717A7"/>
    <w:rsid w:val="00E7181A"/>
    <w:rsid w:val="00E71B10"/>
    <w:rsid w:val="00E71E26"/>
    <w:rsid w:val="00E72226"/>
    <w:rsid w:val="00E73004"/>
    <w:rsid w:val="00E73CE4"/>
    <w:rsid w:val="00E74A24"/>
    <w:rsid w:val="00E753D2"/>
    <w:rsid w:val="00E75676"/>
    <w:rsid w:val="00E75E03"/>
    <w:rsid w:val="00E75FCB"/>
    <w:rsid w:val="00E76E11"/>
    <w:rsid w:val="00E8215A"/>
    <w:rsid w:val="00E82889"/>
    <w:rsid w:val="00E82FFF"/>
    <w:rsid w:val="00E836CC"/>
    <w:rsid w:val="00E83D48"/>
    <w:rsid w:val="00E844C1"/>
    <w:rsid w:val="00E847C7"/>
    <w:rsid w:val="00E86204"/>
    <w:rsid w:val="00E86B1C"/>
    <w:rsid w:val="00E86F27"/>
    <w:rsid w:val="00E87749"/>
    <w:rsid w:val="00E878C7"/>
    <w:rsid w:val="00E8798B"/>
    <w:rsid w:val="00E87DBD"/>
    <w:rsid w:val="00E90376"/>
    <w:rsid w:val="00E9208C"/>
    <w:rsid w:val="00E946F2"/>
    <w:rsid w:val="00E94BE2"/>
    <w:rsid w:val="00E95D08"/>
    <w:rsid w:val="00E95E4E"/>
    <w:rsid w:val="00E97895"/>
    <w:rsid w:val="00EA107C"/>
    <w:rsid w:val="00EA342D"/>
    <w:rsid w:val="00EA68C3"/>
    <w:rsid w:val="00EA6F01"/>
    <w:rsid w:val="00EA70D5"/>
    <w:rsid w:val="00EA7DB0"/>
    <w:rsid w:val="00EA7EEE"/>
    <w:rsid w:val="00EB00DF"/>
    <w:rsid w:val="00EB248E"/>
    <w:rsid w:val="00EB3E6C"/>
    <w:rsid w:val="00EB3EBE"/>
    <w:rsid w:val="00EB409D"/>
    <w:rsid w:val="00EB4DDA"/>
    <w:rsid w:val="00EB6414"/>
    <w:rsid w:val="00EB68C6"/>
    <w:rsid w:val="00EB6DA1"/>
    <w:rsid w:val="00EB6F88"/>
    <w:rsid w:val="00EB7877"/>
    <w:rsid w:val="00EC059A"/>
    <w:rsid w:val="00EC09EA"/>
    <w:rsid w:val="00EC0B64"/>
    <w:rsid w:val="00EC2DC2"/>
    <w:rsid w:val="00EC3258"/>
    <w:rsid w:val="00EC380C"/>
    <w:rsid w:val="00EC3B49"/>
    <w:rsid w:val="00EC3FA7"/>
    <w:rsid w:val="00EC5420"/>
    <w:rsid w:val="00EC56C4"/>
    <w:rsid w:val="00EC56C8"/>
    <w:rsid w:val="00EC7F85"/>
    <w:rsid w:val="00ED07A7"/>
    <w:rsid w:val="00ED0BDF"/>
    <w:rsid w:val="00ED1747"/>
    <w:rsid w:val="00ED2403"/>
    <w:rsid w:val="00ED24EC"/>
    <w:rsid w:val="00ED2BF6"/>
    <w:rsid w:val="00ED3066"/>
    <w:rsid w:val="00ED310E"/>
    <w:rsid w:val="00ED31D7"/>
    <w:rsid w:val="00ED379B"/>
    <w:rsid w:val="00ED3E1C"/>
    <w:rsid w:val="00ED3EC3"/>
    <w:rsid w:val="00ED43C2"/>
    <w:rsid w:val="00ED5010"/>
    <w:rsid w:val="00ED544F"/>
    <w:rsid w:val="00ED57B5"/>
    <w:rsid w:val="00ED6A23"/>
    <w:rsid w:val="00EE0356"/>
    <w:rsid w:val="00EE0D99"/>
    <w:rsid w:val="00EE222B"/>
    <w:rsid w:val="00EE29B6"/>
    <w:rsid w:val="00EE4BED"/>
    <w:rsid w:val="00EE538B"/>
    <w:rsid w:val="00EE78DC"/>
    <w:rsid w:val="00EE7D0D"/>
    <w:rsid w:val="00EE7FDA"/>
    <w:rsid w:val="00EF00C0"/>
    <w:rsid w:val="00EF062E"/>
    <w:rsid w:val="00EF0906"/>
    <w:rsid w:val="00EF10E2"/>
    <w:rsid w:val="00EF2D3A"/>
    <w:rsid w:val="00EF2E35"/>
    <w:rsid w:val="00EF3B6E"/>
    <w:rsid w:val="00EF5941"/>
    <w:rsid w:val="00EF67E1"/>
    <w:rsid w:val="00F00636"/>
    <w:rsid w:val="00F006EF"/>
    <w:rsid w:val="00F00B43"/>
    <w:rsid w:val="00F00CFB"/>
    <w:rsid w:val="00F02B3B"/>
    <w:rsid w:val="00F03146"/>
    <w:rsid w:val="00F0360C"/>
    <w:rsid w:val="00F0382B"/>
    <w:rsid w:val="00F03EFD"/>
    <w:rsid w:val="00F03FCF"/>
    <w:rsid w:val="00F041A6"/>
    <w:rsid w:val="00F04555"/>
    <w:rsid w:val="00F056D5"/>
    <w:rsid w:val="00F05707"/>
    <w:rsid w:val="00F05F15"/>
    <w:rsid w:val="00F06D13"/>
    <w:rsid w:val="00F07A38"/>
    <w:rsid w:val="00F10800"/>
    <w:rsid w:val="00F11390"/>
    <w:rsid w:val="00F11E4F"/>
    <w:rsid w:val="00F122AE"/>
    <w:rsid w:val="00F14051"/>
    <w:rsid w:val="00F1469E"/>
    <w:rsid w:val="00F157A2"/>
    <w:rsid w:val="00F16590"/>
    <w:rsid w:val="00F16AA9"/>
    <w:rsid w:val="00F16FBA"/>
    <w:rsid w:val="00F171AC"/>
    <w:rsid w:val="00F1774E"/>
    <w:rsid w:val="00F178A5"/>
    <w:rsid w:val="00F20051"/>
    <w:rsid w:val="00F210E8"/>
    <w:rsid w:val="00F2113A"/>
    <w:rsid w:val="00F2114D"/>
    <w:rsid w:val="00F221F0"/>
    <w:rsid w:val="00F23949"/>
    <w:rsid w:val="00F25C6E"/>
    <w:rsid w:val="00F26470"/>
    <w:rsid w:val="00F26693"/>
    <w:rsid w:val="00F26ED6"/>
    <w:rsid w:val="00F3004C"/>
    <w:rsid w:val="00F3041C"/>
    <w:rsid w:val="00F30561"/>
    <w:rsid w:val="00F30BA7"/>
    <w:rsid w:val="00F30D3D"/>
    <w:rsid w:val="00F31673"/>
    <w:rsid w:val="00F321C5"/>
    <w:rsid w:val="00F325B0"/>
    <w:rsid w:val="00F34693"/>
    <w:rsid w:val="00F346AF"/>
    <w:rsid w:val="00F3470F"/>
    <w:rsid w:val="00F34710"/>
    <w:rsid w:val="00F37614"/>
    <w:rsid w:val="00F42287"/>
    <w:rsid w:val="00F430DD"/>
    <w:rsid w:val="00F43C13"/>
    <w:rsid w:val="00F44B2F"/>
    <w:rsid w:val="00F44BA8"/>
    <w:rsid w:val="00F45A09"/>
    <w:rsid w:val="00F4604F"/>
    <w:rsid w:val="00F4732A"/>
    <w:rsid w:val="00F4758B"/>
    <w:rsid w:val="00F4773F"/>
    <w:rsid w:val="00F50548"/>
    <w:rsid w:val="00F50920"/>
    <w:rsid w:val="00F516FA"/>
    <w:rsid w:val="00F5177A"/>
    <w:rsid w:val="00F5179D"/>
    <w:rsid w:val="00F5199F"/>
    <w:rsid w:val="00F51EBE"/>
    <w:rsid w:val="00F528FC"/>
    <w:rsid w:val="00F5314B"/>
    <w:rsid w:val="00F53833"/>
    <w:rsid w:val="00F544D5"/>
    <w:rsid w:val="00F54583"/>
    <w:rsid w:val="00F54F67"/>
    <w:rsid w:val="00F57B13"/>
    <w:rsid w:val="00F57BB5"/>
    <w:rsid w:val="00F62189"/>
    <w:rsid w:val="00F62CB6"/>
    <w:rsid w:val="00F634BE"/>
    <w:rsid w:val="00F63A28"/>
    <w:rsid w:val="00F63FD5"/>
    <w:rsid w:val="00F6466E"/>
    <w:rsid w:val="00F6548E"/>
    <w:rsid w:val="00F66848"/>
    <w:rsid w:val="00F66FFC"/>
    <w:rsid w:val="00F6794F"/>
    <w:rsid w:val="00F67A84"/>
    <w:rsid w:val="00F67EE0"/>
    <w:rsid w:val="00F713B4"/>
    <w:rsid w:val="00F71F10"/>
    <w:rsid w:val="00F72D48"/>
    <w:rsid w:val="00F7308A"/>
    <w:rsid w:val="00F73CD0"/>
    <w:rsid w:val="00F73E35"/>
    <w:rsid w:val="00F74750"/>
    <w:rsid w:val="00F747ED"/>
    <w:rsid w:val="00F74E91"/>
    <w:rsid w:val="00F74FDD"/>
    <w:rsid w:val="00F765EA"/>
    <w:rsid w:val="00F76B00"/>
    <w:rsid w:val="00F804B6"/>
    <w:rsid w:val="00F80622"/>
    <w:rsid w:val="00F81207"/>
    <w:rsid w:val="00F815D3"/>
    <w:rsid w:val="00F817F7"/>
    <w:rsid w:val="00F82800"/>
    <w:rsid w:val="00F82D6B"/>
    <w:rsid w:val="00F8384A"/>
    <w:rsid w:val="00F85944"/>
    <w:rsid w:val="00F85BD5"/>
    <w:rsid w:val="00F85F1F"/>
    <w:rsid w:val="00F86240"/>
    <w:rsid w:val="00F877F8"/>
    <w:rsid w:val="00F87B9C"/>
    <w:rsid w:val="00F87DBC"/>
    <w:rsid w:val="00F9061A"/>
    <w:rsid w:val="00F90BCB"/>
    <w:rsid w:val="00F90F29"/>
    <w:rsid w:val="00F91FB1"/>
    <w:rsid w:val="00F921CC"/>
    <w:rsid w:val="00F9266A"/>
    <w:rsid w:val="00F92C02"/>
    <w:rsid w:val="00F93EDE"/>
    <w:rsid w:val="00F972AE"/>
    <w:rsid w:val="00F974CB"/>
    <w:rsid w:val="00F9776A"/>
    <w:rsid w:val="00F9788E"/>
    <w:rsid w:val="00F97AEB"/>
    <w:rsid w:val="00FA047A"/>
    <w:rsid w:val="00FA0A70"/>
    <w:rsid w:val="00FA0B81"/>
    <w:rsid w:val="00FA1352"/>
    <w:rsid w:val="00FA1E3A"/>
    <w:rsid w:val="00FA2247"/>
    <w:rsid w:val="00FA3B1F"/>
    <w:rsid w:val="00FA3C1A"/>
    <w:rsid w:val="00FA4405"/>
    <w:rsid w:val="00FA4672"/>
    <w:rsid w:val="00FA49A0"/>
    <w:rsid w:val="00FA5F2C"/>
    <w:rsid w:val="00FA64B7"/>
    <w:rsid w:val="00FA79A4"/>
    <w:rsid w:val="00FA7D58"/>
    <w:rsid w:val="00FA7F65"/>
    <w:rsid w:val="00FB042D"/>
    <w:rsid w:val="00FB1BE4"/>
    <w:rsid w:val="00FB2758"/>
    <w:rsid w:val="00FB2EA6"/>
    <w:rsid w:val="00FB38CD"/>
    <w:rsid w:val="00FB41B3"/>
    <w:rsid w:val="00FB46AC"/>
    <w:rsid w:val="00FB4B29"/>
    <w:rsid w:val="00FB5DD6"/>
    <w:rsid w:val="00FB60C5"/>
    <w:rsid w:val="00FB60D0"/>
    <w:rsid w:val="00FB6AEA"/>
    <w:rsid w:val="00FB6AFF"/>
    <w:rsid w:val="00FB707F"/>
    <w:rsid w:val="00FC032E"/>
    <w:rsid w:val="00FC0EFF"/>
    <w:rsid w:val="00FC11ED"/>
    <w:rsid w:val="00FC1BE5"/>
    <w:rsid w:val="00FC325F"/>
    <w:rsid w:val="00FC3647"/>
    <w:rsid w:val="00FC4514"/>
    <w:rsid w:val="00FC4922"/>
    <w:rsid w:val="00FC55C6"/>
    <w:rsid w:val="00FC55F2"/>
    <w:rsid w:val="00FC5908"/>
    <w:rsid w:val="00FC5C88"/>
    <w:rsid w:val="00FC6E27"/>
    <w:rsid w:val="00FC74D0"/>
    <w:rsid w:val="00FC76E3"/>
    <w:rsid w:val="00FC79F3"/>
    <w:rsid w:val="00FD03DD"/>
    <w:rsid w:val="00FD1788"/>
    <w:rsid w:val="00FD17FE"/>
    <w:rsid w:val="00FD2497"/>
    <w:rsid w:val="00FD5142"/>
    <w:rsid w:val="00FD5C35"/>
    <w:rsid w:val="00FD5D1E"/>
    <w:rsid w:val="00FD61B1"/>
    <w:rsid w:val="00FD6F49"/>
    <w:rsid w:val="00FE027E"/>
    <w:rsid w:val="00FE098C"/>
    <w:rsid w:val="00FE0994"/>
    <w:rsid w:val="00FE24F2"/>
    <w:rsid w:val="00FE3972"/>
    <w:rsid w:val="00FE45D3"/>
    <w:rsid w:val="00FE5A31"/>
    <w:rsid w:val="00FE5AC0"/>
    <w:rsid w:val="00FE6106"/>
    <w:rsid w:val="00FE773B"/>
    <w:rsid w:val="00FF01CB"/>
    <w:rsid w:val="00FF2DA1"/>
    <w:rsid w:val="00FF311C"/>
    <w:rsid w:val="00FF34F2"/>
    <w:rsid w:val="00FF3B86"/>
    <w:rsid w:val="00FF5395"/>
    <w:rsid w:val="00FF5436"/>
    <w:rsid w:val="00FF54BF"/>
    <w:rsid w:val="00FF5784"/>
    <w:rsid w:val="00FF57A9"/>
    <w:rsid w:val="00FF6466"/>
    <w:rsid w:val="00FF7414"/>
    <w:rsid w:val="00FF7A32"/>
    <w:rsid w:val="00FF7CB4"/>
    <w:rsid w:val="0159179E"/>
    <w:rsid w:val="018C21A5"/>
    <w:rsid w:val="018D04A3"/>
    <w:rsid w:val="02B052EA"/>
    <w:rsid w:val="02B41485"/>
    <w:rsid w:val="02C63FB3"/>
    <w:rsid w:val="033B1FE9"/>
    <w:rsid w:val="036337F0"/>
    <w:rsid w:val="03E6267B"/>
    <w:rsid w:val="03F66ACD"/>
    <w:rsid w:val="04601C9F"/>
    <w:rsid w:val="04A5071D"/>
    <w:rsid w:val="04AC3867"/>
    <w:rsid w:val="050235D5"/>
    <w:rsid w:val="052F7424"/>
    <w:rsid w:val="05BE5BA1"/>
    <w:rsid w:val="06E6628D"/>
    <w:rsid w:val="07340E9E"/>
    <w:rsid w:val="0765524F"/>
    <w:rsid w:val="07666E1E"/>
    <w:rsid w:val="08547225"/>
    <w:rsid w:val="08812F6D"/>
    <w:rsid w:val="08BE1A45"/>
    <w:rsid w:val="09237CC7"/>
    <w:rsid w:val="09BA61F0"/>
    <w:rsid w:val="0A482714"/>
    <w:rsid w:val="0ACD3A97"/>
    <w:rsid w:val="0B060454"/>
    <w:rsid w:val="0B313E8C"/>
    <w:rsid w:val="0C165C72"/>
    <w:rsid w:val="0CE14661"/>
    <w:rsid w:val="0CF51F62"/>
    <w:rsid w:val="0CF941A5"/>
    <w:rsid w:val="0DDB27CB"/>
    <w:rsid w:val="0DFF158C"/>
    <w:rsid w:val="0E296CE9"/>
    <w:rsid w:val="0E452271"/>
    <w:rsid w:val="0E8920A6"/>
    <w:rsid w:val="0F2338F7"/>
    <w:rsid w:val="0F781EE2"/>
    <w:rsid w:val="0FC5052B"/>
    <w:rsid w:val="101D1A76"/>
    <w:rsid w:val="10454571"/>
    <w:rsid w:val="10BB2CA9"/>
    <w:rsid w:val="115E6A9E"/>
    <w:rsid w:val="11801B1B"/>
    <w:rsid w:val="11924456"/>
    <w:rsid w:val="11B46D08"/>
    <w:rsid w:val="11DE291C"/>
    <w:rsid w:val="11F23424"/>
    <w:rsid w:val="125E481D"/>
    <w:rsid w:val="135D2D0A"/>
    <w:rsid w:val="136D24B0"/>
    <w:rsid w:val="137B32C6"/>
    <w:rsid w:val="13801306"/>
    <w:rsid w:val="13AA430F"/>
    <w:rsid w:val="13B77832"/>
    <w:rsid w:val="13C95DDF"/>
    <w:rsid w:val="141B77F1"/>
    <w:rsid w:val="148F400E"/>
    <w:rsid w:val="14901B92"/>
    <w:rsid w:val="14C10C4A"/>
    <w:rsid w:val="14E41E49"/>
    <w:rsid w:val="153D0A49"/>
    <w:rsid w:val="15670D36"/>
    <w:rsid w:val="156E3DAB"/>
    <w:rsid w:val="15BA1BFF"/>
    <w:rsid w:val="15FB4CAC"/>
    <w:rsid w:val="16BA486A"/>
    <w:rsid w:val="16F23D1D"/>
    <w:rsid w:val="17430030"/>
    <w:rsid w:val="17AD4E23"/>
    <w:rsid w:val="17AF1379"/>
    <w:rsid w:val="19000D7A"/>
    <w:rsid w:val="197F7784"/>
    <w:rsid w:val="1A4D1AE1"/>
    <w:rsid w:val="1A5903B6"/>
    <w:rsid w:val="1A785CC6"/>
    <w:rsid w:val="1AA74CCA"/>
    <w:rsid w:val="1B72539B"/>
    <w:rsid w:val="1C187D9A"/>
    <w:rsid w:val="1CCC68B1"/>
    <w:rsid w:val="1CDF7FEB"/>
    <w:rsid w:val="1CE44623"/>
    <w:rsid w:val="1CFB16C0"/>
    <w:rsid w:val="1D0E3321"/>
    <w:rsid w:val="1D6B721E"/>
    <w:rsid w:val="1DD74EC8"/>
    <w:rsid w:val="1DE00C13"/>
    <w:rsid w:val="1E1F0E51"/>
    <w:rsid w:val="1E995E2D"/>
    <w:rsid w:val="1EA06894"/>
    <w:rsid w:val="1EB53C8D"/>
    <w:rsid w:val="1EBF0E94"/>
    <w:rsid w:val="1F531644"/>
    <w:rsid w:val="1FAE27B1"/>
    <w:rsid w:val="213D3F0E"/>
    <w:rsid w:val="21934A0E"/>
    <w:rsid w:val="227B52DA"/>
    <w:rsid w:val="22DE5658"/>
    <w:rsid w:val="230C1039"/>
    <w:rsid w:val="24871B8F"/>
    <w:rsid w:val="254B46F9"/>
    <w:rsid w:val="254E41E0"/>
    <w:rsid w:val="257309F9"/>
    <w:rsid w:val="257748B8"/>
    <w:rsid w:val="258070E1"/>
    <w:rsid w:val="25B83C69"/>
    <w:rsid w:val="261C5EBC"/>
    <w:rsid w:val="26384FEB"/>
    <w:rsid w:val="267012F7"/>
    <w:rsid w:val="267478AE"/>
    <w:rsid w:val="26B5724B"/>
    <w:rsid w:val="26F05120"/>
    <w:rsid w:val="27011EF8"/>
    <w:rsid w:val="270C3FEE"/>
    <w:rsid w:val="270E5777"/>
    <w:rsid w:val="273E1378"/>
    <w:rsid w:val="27C44107"/>
    <w:rsid w:val="27D83CDE"/>
    <w:rsid w:val="27DC2229"/>
    <w:rsid w:val="27F7432E"/>
    <w:rsid w:val="281F752B"/>
    <w:rsid w:val="28363598"/>
    <w:rsid w:val="28930A4A"/>
    <w:rsid w:val="28C207EC"/>
    <w:rsid w:val="28D813F2"/>
    <w:rsid w:val="28E079FB"/>
    <w:rsid w:val="2900570F"/>
    <w:rsid w:val="29217543"/>
    <w:rsid w:val="29C3496E"/>
    <w:rsid w:val="2A682917"/>
    <w:rsid w:val="2AD00D9B"/>
    <w:rsid w:val="2AE82B97"/>
    <w:rsid w:val="2B5D375F"/>
    <w:rsid w:val="2B674FF5"/>
    <w:rsid w:val="2BEC768D"/>
    <w:rsid w:val="2C226E22"/>
    <w:rsid w:val="2C7A4260"/>
    <w:rsid w:val="2C962B81"/>
    <w:rsid w:val="2CF25CFF"/>
    <w:rsid w:val="2D5354C8"/>
    <w:rsid w:val="2DD74F9E"/>
    <w:rsid w:val="2EBB667F"/>
    <w:rsid w:val="2F140088"/>
    <w:rsid w:val="2F9F5F16"/>
    <w:rsid w:val="2FA71655"/>
    <w:rsid w:val="2FE17680"/>
    <w:rsid w:val="2FFA4FCF"/>
    <w:rsid w:val="30753DE7"/>
    <w:rsid w:val="30B16121"/>
    <w:rsid w:val="3179362E"/>
    <w:rsid w:val="31C27911"/>
    <w:rsid w:val="32AF5536"/>
    <w:rsid w:val="32E2388D"/>
    <w:rsid w:val="32E71B5D"/>
    <w:rsid w:val="33455B84"/>
    <w:rsid w:val="33DB74FF"/>
    <w:rsid w:val="343155AF"/>
    <w:rsid w:val="34B03C90"/>
    <w:rsid w:val="351335A5"/>
    <w:rsid w:val="357F334F"/>
    <w:rsid w:val="35FC1BF4"/>
    <w:rsid w:val="36264149"/>
    <w:rsid w:val="36372DD7"/>
    <w:rsid w:val="36C9216C"/>
    <w:rsid w:val="36F367C8"/>
    <w:rsid w:val="379046B5"/>
    <w:rsid w:val="37C2791F"/>
    <w:rsid w:val="37E05488"/>
    <w:rsid w:val="38373AC7"/>
    <w:rsid w:val="39501D74"/>
    <w:rsid w:val="395D29A2"/>
    <w:rsid w:val="39CC742D"/>
    <w:rsid w:val="3A5D6930"/>
    <w:rsid w:val="3ABE1485"/>
    <w:rsid w:val="3B8403D0"/>
    <w:rsid w:val="3BC757A6"/>
    <w:rsid w:val="3BDA6EC3"/>
    <w:rsid w:val="3BE10BD1"/>
    <w:rsid w:val="3C174838"/>
    <w:rsid w:val="3C235FDD"/>
    <w:rsid w:val="3C8B7826"/>
    <w:rsid w:val="3C940790"/>
    <w:rsid w:val="3C961429"/>
    <w:rsid w:val="3D4260D0"/>
    <w:rsid w:val="3D6D4FC7"/>
    <w:rsid w:val="3D91689D"/>
    <w:rsid w:val="3E0F3FB1"/>
    <w:rsid w:val="3E62452A"/>
    <w:rsid w:val="3E6647C6"/>
    <w:rsid w:val="3EC21063"/>
    <w:rsid w:val="3ECB7BB3"/>
    <w:rsid w:val="3F0243F1"/>
    <w:rsid w:val="3F647D06"/>
    <w:rsid w:val="400115F9"/>
    <w:rsid w:val="400F7043"/>
    <w:rsid w:val="40233D11"/>
    <w:rsid w:val="40525DC3"/>
    <w:rsid w:val="40A11D87"/>
    <w:rsid w:val="423F5A84"/>
    <w:rsid w:val="4262403D"/>
    <w:rsid w:val="429420A5"/>
    <w:rsid w:val="42A11C50"/>
    <w:rsid w:val="42A718CF"/>
    <w:rsid w:val="42FA4CBC"/>
    <w:rsid w:val="43BE594D"/>
    <w:rsid w:val="440570E0"/>
    <w:rsid w:val="44416578"/>
    <w:rsid w:val="44446348"/>
    <w:rsid w:val="44BD77FE"/>
    <w:rsid w:val="4549004F"/>
    <w:rsid w:val="458B464A"/>
    <w:rsid w:val="45F155CB"/>
    <w:rsid w:val="46150E10"/>
    <w:rsid w:val="468549D5"/>
    <w:rsid w:val="47A1553E"/>
    <w:rsid w:val="47B32814"/>
    <w:rsid w:val="48007181"/>
    <w:rsid w:val="48DB25BB"/>
    <w:rsid w:val="49FB09E3"/>
    <w:rsid w:val="4A262898"/>
    <w:rsid w:val="4A4D68EC"/>
    <w:rsid w:val="4A87260C"/>
    <w:rsid w:val="4B383EA3"/>
    <w:rsid w:val="4BB154C3"/>
    <w:rsid w:val="4BE56D27"/>
    <w:rsid w:val="4C1A20B5"/>
    <w:rsid w:val="4C613C0E"/>
    <w:rsid w:val="4C687057"/>
    <w:rsid w:val="4C744F89"/>
    <w:rsid w:val="4D3D1BB5"/>
    <w:rsid w:val="4DA46FE5"/>
    <w:rsid w:val="4E0203EE"/>
    <w:rsid w:val="4E0314A7"/>
    <w:rsid w:val="4E256748"/>
    <w:rsid w:val="4E42141C"/>
    <w:rsid w:val="4E8D5B0B"/>
    <w:rsid w:val="4F434A44"/>
    <w:rsid w:val="4F8E4501"/>
    <w:rsid w:val="4FC761FB"/>
    <w:rsid w:val="506A10BA"/>
    <w:rsid w:val="5076765E"/>
    <w:rsid w:val="50A8776C"/>
    <w:rsid w:val="50DE18CA"/>
    <w:rsid w:val="50E30F02"/>
    <w:rsid w:val="50E920F8"/>
    <w:rsid w:val="513C6C98"/>
    <w:rsid w:val="519E2324"/>
    <w:rsid w:val="51BE2C6A"/>
    <w:rsid w:val="522C1D7C"/>
    <w:rsid w:val="524325B2"/>
    <w:rsid w:val="529110EA"/>
    <w:rsid w:val="52CA09AB"/>
    <w:rsid w:val="533B38FC"/>
    <w:rsid w:val="53CD779F"/>
    <w:rsid w:val="541B6F7B"/>
    <w:rsid w:val="54752890"/>
    <w:rsid w:val="55424E00"/>
    <w:rsid w:val="55CC4FD9"/>
    <w:rsid w:val="56787622"/>
    <w:rsid w:val="56EA7634"/>
    <w:rsid w:val="56F7654C"/>
    <w:rsid w:val="57047660"/>
    <w:rsid w:val="570E7EBC"/>
    <w:rsid w:val="573D3BD4"/>
    <w:rsid w:val="57416F33"/>
    <w:rsid w:val="5755254A"/>
    <w:rsid w:val="579370AF"/>
    <w:rsid w:val="579C6C90"/>
    <w:rsid w:val="58283FFE"/>
    <w:rsid w:val="58482CDC"/>
    <w:rsid w:val="58B478E0"/>
    <w:rsid w:val="58BE6DD0"/>
    <w:rsid w:val="59242C91"/>
    <w:rsid w:val="593F4B27"/>
    <w:rsid w:val="59520970"/>
    <w:rsid w:val="5987195A"/>
    <w:rsid w:val="5A1E0D7A"/>
    <w:rsid w:val="5A31354A"/>
    <w:rsid w:val="5A7946EF"/>
    <w:rsid w:val="5AE70568"/>
    <w:rsid w:val="5B122B03"/>
    <w:rsid w:val="5C062E79"/>
    <w:rsid w:val="5C0662B2"/>
    <w:rsid w:val="5CA101CD"/>
    <w:rsid w:val="5CBD1466"/>
    <w:rsid w:val="5DBA1395"/>
    <w:rsid w:val="5E495CF2"/>
    <w:rsid w:val="5E6179BF"/>
    <w:rsid w:val="5EC10555"/>
    <w:rsid w:val="5ED1667A"/>
    <w:rsid w:val="5EDD06F9"/>
    <w:rsid w:val="5F262EC9"/>
    <w:rsid w:val="5F272FCA"/>
    <w:rsid w:val="5F3935F8"/>
    <w:rsid w:val="5F5D78D6"/>
    <w:rsid w:val="5F727500"/>
    <w:rsid w:val="5FB66E52"/>
    <w:rsid w:val="60321246"/>
    <w:rsid w:val="60452450"/>
    <w:rsid w:val="604D430C"/>
    <w:rsid w:val="60DF572D"/>
    <w:rsid w:val="60EB3CB4"/>
    <w:rsid w:val="60F53F89"/>
    <w:rsid w:val="613C65D7"/>
    <w:rsid w:val="61965CA4"/>
    <w:rsid w:val="61F256B1"/>
    <w:rsid w:val="62CA0761"/>
    <w:rsid w:val="637D4FC4"/>
    <w:rsid w:val="63D2245A"/>
    <w:rsid w:val="64D80659"/>
    <w:rsid w:val="65350A54"/>
    <w:rsid w:val="653872C1"/>
    <w:rsid w:val="65A55A82"/>
    <w:rsid w:val="65E4533A"/>
    <w:rsid w:val="6609319E"/>
    <w:rsid w:val="66D0070D"/>
    <w:rsid w:val="676B6D2D"/>
    <w:rsid w:val="68BF6E43"/>
    <w:rsid w:val="68D771CC"/>
    <w:rsid w:val="68DB2857"/>
    <w:rsid w:val="68DE3D2F"/>
    <w:rsid w:val="68DF4A4B"/>
    <w:rsid w:val="69872354"/>
    <w:rsid w:val="6AC6217B"/>
    <w:rsid w:val="6AEB7DD9"/>
    <w:rsid w:val="6B517558"/>
    <w:rsid w:val="6B9A5148"/>
    <w:rsid w:val="6C0B4B57"/>
    <w:rsid w:val="6C4C1566"/>
    <w:rsid w:val="6CF64E5A"/>
    <w:rsid w:val="6D0F7B79"/>
    <w:rsid w:val="6D11443F"/>
    <w:rsid w:val="6D685FE9"/>
    <w:rsid w:val="6D866FEE"/>
    <w:rsid w:val="6DB13CF7"/>
    <w:rsid w:val="6E410CF8"/>
    <w:rsid w:val="6EAF3FC5"/>
    <w:rsid w:val="6EDF4E7F"/>
    <w:rsid w:val="6F023DAC"/>
    <w:rsid w:val="6F995761"/>
    <w:rsid w:val="70482F8C"/>
    <w:rsid w:val="706722ED"/>
    <w:rsid w:val="706F31EF"/>
    <w:rsid w:val="71623CDF"/>
    <w:rsid w:val="72EA6F28"/>
    <w:rsid w:val="73231373"/>
    <w:rsid w:val="73582779"/>
    <w:rsid w:val="738A29C9"/>
    <w:rsid w:val="739316CA"/>
    <w:rsid w:val="739D6F05"/>
    <w:rsid w:val="73A405DD"/>
    <w:rsid w:val="74267B0C"/>
    <w:rsid w:val="742F5357"/>
    <w:rsid w:val="743B50DA"/>
    <w:rsid w:val="75597106"/>
    <w:rsid w:val="75872A98"/>
    <w:rsid w:val="75D66787"/>
    <w:rsid w:val="76261D92"/>
    <w:rsid w:val="762D0BC6"/>
    <w:rsid w:val="76557EDE"/>
    <w:rsid w:val="76930C53"/>
    <w:rsid w:val="76AE36EB"/>
    <w:rsid w:val="778E7319"/>
    <w:rsid w:val="77F357C9"/>
    <w:rsid w:val="77F43101"/>
    <w:rsid w:val="780813A5"/>
    <w:rsid w:val="781E4897"/>
    <w:rsid w:val="784D1174"/>
    <w:rsid w:val="790811D8"/>
    <w:rsid w:val="79680AE9"/>
    <w:rsid w:val="7A9D704E"/>
    <w:rsid w:val="7AA60C61"/>
    <w:rsid w:val="7AC65BFC"/>
    <w:rsid w:val="7B4839E7"/>
    <w:rsid w:val="7B844513"/>
    <w:rsid w:val="7C9E6226"/>
    <w:rsid w:val="7C9F6236"/>
    <w:rsid w:val="7D1A4326"/>
    <w:rsid w:val="7D7A6D90"/>
    <w:rsid w:val="7DB01A3C"/>
    <w:rsid w:val="7E395E6F"/>
    <w:rsid w:val="7E592AC7"/>
    <w:rsid w:val="7EAC0EA0"/>
    <w:rsid w:val="CDEBB6D6"/>
    <w:rsid w:val="FFFD7D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spacing w:line="340" w:lineRule="exact"/>
      <w:outlineLvl w:val="0"/>
    </w:pPr>
    <w:rPr>
      <w:b/>
      <w:bCs/>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6"/>
    <w:qFormat/>
    <w:uiPriority w:val="0"/>
    <w:pPr>
      <w:keepNext/>
      <w:keepLines/>
      <w:spacing w:before="260" w:after="260" w:line="416" w:lineRule="auto"/>
      <w:outlineLvl w:val="2"/>
    </w:pPr>
    <w:rPr>
      <w:b/>
      <w:bCs/>
      <w:sz w:val="32"/>
      <w:szCs w:val="32"/>
    </w:rPr>
  </w:style>
  <w:style w:type="paragraph" w:styleId="6">
    <w:name w:val="heading 4"/>
    <w:basedOn w:val="1"/>
    <w:next w:val="1"/>
    <w:link w:val="97"/>
    <w:qFormat/>
    <w:uiPriority w:val="0"/>
    <w:pPr>
      <w:keepNext/>
      <w:keepLines/>
      <w:spacing w:before="280" w:after="290" w:line="376" w:lineRule="auto"/>
      <w:outlineLvl w:val="3"/>
    </w:pPr>
    <w:rPr>
      <w:rFonts w:ascii="宋体" w:hAnsi="Arial" w:eastAsia="黑体"/>
      <w:b/>
      <w:sz w:val="24"/>
      <w:szCs w:val="20"/>
    </w:rPr>
  </w:style>
  <w:style w:type="paragraph" w:styleId="7">
    <w:name w:val="heading 5"/>
    <w:basedOn w:val="1"/>
    <w:next w:val="8"/>
    <w:link w:val="69"/>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72"/>
    <w:qFormat/>
    <w:uiPriority w:val="0"/>
    <w:pPr>
      <w:keepNext/>
      <w:keepLines/>
      <w:spacing w:before="240" w:after="64" w:line="320" w:lineRule="auto"/>
      <w:outlineLvl w:val="6"/>
    </w:pPr>
    <w:rPr>
      <w:b/>
      <w:sz w:val="24"/>
      <w:szCs w:val="20"/>
    </w:rPr>
  </w:style>
  <w:style w:type="paragraph" w:styleId="11">
    <w:name w:val="heading 8"/>
    <w:basedOn w:val="1"/>
    <w:next w:val="8"/>
    <w:link w:val="7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10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目录 21"/>
    <w:next w:val="1"/>
    <w:qFormat/>
    <w:uiPriority w:val="0"/>
    <w:pPr>
      <w:widowControl w:val="0"/>
      <w:spacing w:before="100" w:beforeAutospacing="1" w:after="100" w:afterAutospacing="1"/>
      <w:ind w:left="420" w:leftChars="200"/>
      <w:jc w:val="both"/>
    </w:pPr>
    <w:rPr>
      <w:rFonts w:ascii="Times New Roman" w:hAnsi="Times New Roman" w:eastAsia="宋体" w:cs="Times New Roman"/>
      <w:kern w:val="2"/>
      <w:sz w:val="21"/>
      <w:szCs w:val="24"/>
      <w:lang w:val="en-US" w:eastAsia="zh-CN" w:bidi="ar-SA"/>
    </w:rPr>
  </w:style>
  <w:style w:type="paragraph" w:styleId="8">
    <w:name w:val="Normal Indent"/>
    <w:basedOn w:val="1"/>
    <w:link w:val="109"/>
    <w:qFormat/>
    <w:uiPriority w:val="0"/>
    <w:pPr>
      <w:ind w:firstLine="420"/>
    </w:pPr>
    <w:rPr>
      <w:szCs w:val="20"/>
    </w:rPr>
  </w:style>
  <w:style w:type="paragraph" w:styleId="13">
    <w:name w:val="toc 7"/>
    <w:basedOn w:val="1"/>
    <w:next w:val="1"/>
    <w:unhideWhenUsed/>
    <w:qFormat/>
    <w:uiPriority w:val="0"/>
    <w:pPr>
      <w:ind w:left="1260"/>
      <w:jc w:val="left"/>
    </w:pPr>
    <w:rPr>
      <w:rFonts w:asciiTheme="minorHAnsi" w:hAnsiTheme="minorHAnsi"/>
      <w:sz w:val="18"/>
      <w:szCs w:val="18"/>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82"/>
    <w:semiHidden/>
    <w:qFormat/>
    <w:uiPriority w:val="0"/>
    <w:pPr>
      <w:shd w:val="clear" w:color="auto" w:fill="000080"/>
    </w:pPr>
  </w:style>
  <w:style w:type="paragraph" w:styleId="16">
    <w:name w:val="annotation text"/>
    <w:basedOn w:val="1"/>
    <w:link w:val="64"/>
    <w:qFormat/>
    <w:uiPriority w:val="0"/>
    <w:pPr>
      <w:jc w:val="left"/>
    </w:pPr>
  </w:style>
  <w:style w:type="paragraph" w:styleId="17">
    <w:name w:val="Body Text 3"/>
    <w:basedOn w:val="1"/>
    <w:link w:val="74"/>
    <w:qFormat/>
    <w:uiPriority w:val="0"/>
    <w:pPr>
      <w:spacing w:line="500" w:lineRule="exact"/>
    </w:pPr>
    <w:rPr>
      <w:b/>
      <w:bCs/>
      <w:kern w:val="0"/>
      <w:sz w:val="24"/>
    </w:rPr>
  </w:style>
  <w:style w:type="paragraph" w:styleId="18">
    <w:name w:val="Body Text"/>
    <w:basedOn w:val="1"/>
    <w:next w:val="1"/>
    <w:link w:val="62"/>
    <w:qFormat/>
    <w:uiPriority w:val="0"/>
    <w:pPr>
      <w:autoSpaceDE w:val="0"/>
      <w:autoSpaceDN w:val="0"/>
      <w:adjustRightInd w:val="0"/>
      <w:spacing w:after="120"/>
      <w:jc w:val="left"/>
    </w:pPr>
    <w:rPr>
      <w:rFonts w:ascii="宋体"/>
      <w:kern w:val="0"/>
      <w:sz w:val="34"/>
      <w:szCs w:val="20"/>
    </w:rPr>
  </w:style>
  <w:style w:type="paragraph" w:styleId="19">
    <w:name w:val="Body Text Indent"/>
    <w:basedOn w:val="1"/>
    <w:link w:val="103"/>
    <w:qFormat/>
    <w:uiPriority w:val="0"/>
    <w:pPr>
      <w:spacing w:line="200" w:lineRule="exact"/>
      <w:ind w:firstLine="301"/>
    </w:pPr>
    <w:rPr>
      <w:rFonts w:ascii="宋体" w:hAnsi="Courier New"/>
      <w:spacing w:val="-4"/>
      <w:sz w:val="18"/>
      <w:szCs w:val="20"/>
    </w:rPr>
  </w:style>
  <w:style w:type="paragraph" w:styleId="20">
    <w:name w:val="toc 5"/>
    <w:basedOn w:val="1"/>
    <w:next w:val="1"/>
    <w:unhideWhenUsed/>
    <w:qFormat/>
    <w:uiPriority w:val="0"/>
    <w:pPr>
      <w:ind w:left="840"/>
      <w:jc w:val="left"/>
    </w:pPr>
    <w:rPr>
      <w:rFonts w:asciiTheme="minorHAnsi" w:hAnsiTheme="minorHAnsi"/>
      <w:sz w:val="18"/>
      <w:szCs w:val="18"/>
    </w:rPr>
  </w:style>
  <w:style w:type="paragraph" w:styleId="21">
    <w:name w:val="toc 3"/>
    <w:basedOn w:val="1"/>
    <w:next w:val="1"/>
    <w:unhideWhenUsed/>
    <w:qFormat/>
    <w:uiPriority w:val="0"/>
    <w:pPr>
      <w:ind w:left="420"/>
      <w:jc w:val="left"/>
    </w:pPr>
    <w:rPr>
      <w:rFonts w:asciiTheme="minorHAnsi" w:hAnsiTheme="minorHAnsi"/>
      <w:i/>
      <w:iCs/>
      <w:sz w:val="20"/>
      <w:szCs w:val="20"/>
    </w:rPr>
  </w:style>
  <w:style w:type="paragraph" w:styleId="22">
    <w:name w:val="Plain Text"/>
    <w:basedOn w:val="1"/>
    <w:link w:val="59"/>
    <w:qFormat/>
    <w:uiPriority w:val="99"/>
    <w:rPr>
      <w:rFonts w:ascii="宋体" w:hAnsi="Courier New"/>
      <w:szCs w:val="20"/>
    </w:rPr>
  </w:style>
  <w:style w:type="paragraph" w:styleId="23">
    <w:name w:val="toc 8"/>
    <w:basedOn w:val="1"/>
    <w:next w:val="1"/>
    <w:unhideWhenUsed/>
    <w:qFormat/>
    <w:uiPriority w:val="0"/>
    <w:pPr>
      <w:ind w:left="1470"/>
      <w:jc w:val="left"/>
    </w:pPr>
    <w:rPr>
      <w:rFonts w:asciiTheme="minorHAnsi" w:hAnsiTheme="minorHAnsi"/>
      <w:sz w:val="18"/>
      <w:szCs w:val="18"/>
    </w:rPr>
  </w:style>
  <w:style w:type="paragraph" w:styleId="24">
    <w:name w:val="Date"/>
    <w:basedOn w:val="1"/>
    <w:next w:val="1"/>
    <w:link w:val="79"/>
    <w:qFormat/>
    <w:uiPriority w:val="0"/>
    <w:pPr>
      <w:ind w:left="100" w:leftChars="2500"/>
    </w:pPr>
    <w:rPr>
      <w:spacing w:val="30"/>
      <w:sz w:val="28"/>
    </w:rPr>
  </w:style>
  <w:style w:type="paragraph" w:styleId="25">
    <w:name w:val="Body Text Indent 2"/>
    <w:basedOn w:val="1"/>
    <w:link w:val="84"/>
    <w:qFormat/>
    <w:uiPriority w:val="0"/>
    <w:pPr>
      <w:spacing w:line="400" w:lineRule="exact"/>
      <w:ind w:firstLine="480"/>
    </w:pPr>
  </w:style>
  <w:style w:type="paragraph" w:styleId="26">
    <w:name w:val="Balloon Text"/>
    <w:basedOn w:val="1"/>
    <w:link w:val="71"/>
    <w:qFormat/>
    <w:uiPriority w:val="0"/>
    <w:rPr>
      <w:sz w:val="18"/>
      <w:szCs w:val="18"/>
    </w:rPr>
  </w:style>
  <w:style w:type="paragraph" w:styleId="27">
    <w:name w:val="footer"/>
    <w:basedOn w:val="1"/>
    <w:link w:val="78"/>
    <w:qFormat/>
    <w:uiPriority w:val="0"/>
    <w:pPr>
      <w:tabs>
        <w:tab w:val="center" w:pos="4153"/>
        <w:tab w:val="right" w:pos="8306"/>
      </w:tabs>
      <w:snapToGrid w:val="0"/>
      <w:jc w:val="left"/>
    </w:pPr>
    <w:rPr>
      <w:rFonts w:ascii="宋体" w:hAnsi="Courier New"/>
      <w:sz w:val="18"/>
      <w:szCs w:val="20"/>
    </w:rPr>
  </w:style>
  <w:style w:type="paragraph" w:styleId="28">
    <w:name w:val="header"/>
    <w:basedOn w:val="1"/>
    <w:link w:val="80"/>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9">
    <w:name w:val="toc 1"/>
    <w:basedOn w:val="1"/>
    <w:next w:val="1"/>
    <w:unhideWhenUsed/>
    <w:qFormat/>
    <w:uiPriority w:val="39"/>
    <w:pPr>
      <w:spacing w:before="120" w:after="120"/>
      <w:jc w:val="left"/>
    </w:pPr>
    <w:rPr>
      <w:rFonts w:asciiTheme="minorHAnsi" w:hAnsiTheme="minorHAnsi"/>
      <w:b/>
      <w:bCs/>
      <w:caps/>
      <w:sz w:val="20"/>
      <w:szCs w:val="20"/>
    </w:rPr>
  </w:style>
  <w:style w:type="paragraph" w:styleId="30">
    <w:name w:val="toc 4"/>
    <w:basedOn w:val="1"/>
    <w:next w:val="1"/>
    <w:unhideWhenUsed/>
    <w:qFormat/>
    <w:uiPriority w:val="0"/>
    <w:pPr>
      <w:ind w:left="630"/>
      <w:jc w:val="left"/>
    </w:pPr>
    <w:rPr>
      <w:rFonts w:asciiTheme="minorHAnsi" w:hAnsiTheme="minorHAnsi"/>
      <w:sz w:val="18"/>
      <w:szCs w:val="18"/>
    </w:rPr>
  </w:style>
  <w:style w:type="paragraph" w:styleId="31">
    <w:name w:val="Subtitle"/>
    <w:basedOn w:val="1"/>
    <w:next w:val="1"/>
    <w:link w:val="157"/>
    <w:qFormat/>
    <w:uiPriority w:val="0"/>
    <w:pPr>
      <w:spacing w:line="312" w:lineRule="auto"/>
      <w:jc w:val="center"/>
      <w:outlineLvl w:val="1"/>
    </w:pPr>
    <w:rPr>
      <w:rFonts w:ascii="Calibri Light" w:hAnsi="Calibri Light"/>
      <w:b/>
      <w:bCs/>
      <w:kern w:val="28"/>
      <w:sz w:val="32"/>
      <w:szCs w:val="32"/>
    </w:rPr>
  </w:style>
  <w:style w:type="paragraph" w:styleId="32">
    <w:name w:val="toc 6"/>
    <w:basedOn w:val="1"/>
    <w:next w:val="1"/>
    <w:unhideWhenUsed/>
    <w:qFormat/>
    <w:uiPriority w:val="0"/>
    <w:pPr>
      <w:ind w:left="1050"/>
      <w:jc w:val="left"/>
    </w:pPr>
    <w:rPr>
      <w:rFonts w:asciiTheme="minorHAnsi" w:hAnsiTheme="minorHAnsi"/>
      <w:sz w:val="18"/>
      <w:szCs w:val="18"/>
    </w:rPr>
  </w:style>
  <w:style w:type="paragraph" w:styleId="33">
    <w:name w:val="Body Text Indent 3"/>
    <w:basedOn w:val="1"/>
    <w:link w:val="86"/>
    <w:qFormat/>
    <w:uiPriority w:val="0"/>
    <w:pPr>
      <w:spacing w:line="360" w:lineRule="auto"/>
      <w:ind w:firstLine="359" w:firstLineChars="171"/>
    </w:pPr>
  </w:style>
  <w:style w:type="paragraph" w:styleId="34">
    <w:name w:val="toc 2"/>
    <w:basedOn w:val="1"/>
    <w:next w:val="1"/>
    <w:unhideWhenUsed/>
    <w:qFormat/>
    <w:uiPriority w:val="0"/>
    <w:pPr>
      <w:ind w:left="210"/>
      <w:jc w:val="left"/>
    </w:pPr>
    <w:rPr>
      <w:rFonts w:asciiTheme="minorHAnsi" w:hAnsiTheme="minorHAnsi"/>
      <w:smallCaps/>
      <w:sz w:val="20"/>
      <w:szCs w:val="20"/>
    </w:rPr>
  </w:style>
  <w:style w:type="paragraph" w:styleId="35">
    <w:name w:val="toc 9"/>
    <w:basedOn w:val="1"/>
    <w:next w:val="1"/>
    <w:unhideWhenUsed/>
    <w:qFormat/>
    <w:uiPriority w:val="0"/>
    <w:pPr>
      <w:ind w:left="1680"/>
      <w:jc w:val="left"/>
    </w:pPr>
    <w:rPr>
      <w:rFonts w:asciiTheme="minorHAnsi" w:hAnsiTheme="minorHAnsi"/>
      <w:sz w:val="18"/>
      <w:szCs w:val="18"/>
    </w:rPr>
  </w:style>
  <w:style w:type="paragraph" w:styleId="36">
    <w:name w:val="Body Text 2"/>
    <w:basedOn w:val="1"/>
    <w:link w:val="73"/>
    <w:qFormat/>
    <w:uiPriority w:val="0"/>
    <w:pPr>
      <w:spacing w:after="120" w:line="480" w:lineRule="auto"/>
    </w:pPr>
    <w:rPr>
      <w:kern w:val="0"/>
      <w:sz w:val="20"/>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8">
    <w:name w:val="Normal (Web)"/>
    <w:basedOn w:val="1"/>
    <w:qFormat/>
    <w:uiPriority w:val="0"/>
    <w:pPr>
      <w:spacing w:beforeAutospacing="1" w:afterAutospacing="1"/>
      <w:jc w:val="left"/>
    </w:pPr>
    <w:rPr>
      <w:kern w:val="0"/>
      <w:sz w:val="24"/>
    </w:rPr>
  </w:style>
  <w:style w:type="paragraph" w:styleId="39">
    <w:name w:val="index 1"/>
    <w:basedOn w:val="1"/>
    <w:next w:val="1"/>
    <w:semiHidden/>
    <w:qFormat/>
    <w:uiPriority w:val="0"/>
    <w:pPr>
      <w:spacing w:line="360" w:lineRule="exact"/>
      <w:ind w:firstLine="432" w:firstLineChars="240"/>
    </w:pPr>
    <w:rPr>
      <w:rFonts w:ascii="宋体" w:hAnsi="宋体"/>
      <w:bCs/>
      <w:sz w:val="18"/>
      <w:szCs w:val="18"/>
    </w:rPr>
  </w:style>
  <w:style w:type="paragraph" w:styleId="40">
    <w:name w:val="Title"/>
    <w:basedOn w:val="1"/>
    <w:link w:val="99"/>
    <w:qFormat/>
    <w:uiPriority w:val="0"/>
    <w:pPr>
      <w:spacing w:before="240" w:after="60"/>
      <w:jc w:val="center"/>
      <w:outlineLvl w:val="0"/>
    </w:pPr>
    <w:rPr>
      <w:rFonts w:ascii="Arial" w:hAnsi="Arial" w:cs="Arial"/>
      <w:b/>
      <w:bCs/>
      <w:sz w:val="32"/>
      <w:szCs w:val="32"/>
    </w:rPr>
  </w:style>
  <w:style w:type="paragraph" w:styleId="41">
    <w:name w:val="annotation subject"/>
    <w:basedOn w:val="16"/>
    <w:next w:val="16"/>
    <w:link w:val="98"/>
    <w:unhideWhenUsed/>
    <w:qFormat/>
    <w:uiPriority w:val="0"/>
    <w:rPr>
      <w:rFonts w:ascii="Calibri" w:hAnsi="Calibri"/>
      <w:b/>
      <w:bCs/>
    </w:rPr>
  </w:style>
  <w:style w:type="paragraph" w:styleId="42">
    <w:name w:val="Body Text First Indent 2"/>
    <w:basedOn w:val="19"/>
    <w:link w:val="92"/>
    <w:qFormat/>
    <w:uiPriority w:val="0"/>
    <w:pPr>
      <w:spacing w:after="120" w:line="240" w:lineRule="auto"/>
      <w:ind w:left="420" w:leftChars="200" w:firstLine="420" w:firstLineChars="2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paragraph" w:customStyle="1" w:styleId="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3">
    <w:name w:val="大标题"/>
    <w:basedOn w:val="1"/>
    <w:next w:val="1"/>
    <w:qFormat/>
    <w:uiPriority w:val="0"/>
    <w:pPr>
      <w:adjustRightInd w:val="0"/>
      <w:snapToGrid w:val="0"/>
      <w:spacing w:line="600" w:lineRule="exact"/>
      <w:jc w:val="center"/>
    </w:pPr>
    <w:rPr>
      <w:rFonts w:hint="eastAsia" w:ascii="Calibri" w:hAnsi="Calibri" w:eastAsia="方正小标宋_GBK"/>
      <w:sz w:val="44"/>
    </w:rPr>
  </w:style>
  <w:style w:type="paragraph" w:customStyle="1" w:styleId="54">
    <w:name w:val="标题3-2"/>
    <w:basedOn w:val="5"/>
    <w:next w:val="1"/>
    <w:qFormat/>
    <w:uiPriority w:val="0"/>
    <w:pPr>
      <w:numPr>
        <w:ilvl w:val="0"/>
        <w:numId w:val="1"/>
      </w:numPr>
      <w:tabs>
        <w:tab w:val="left" w:pos="360"/>
      </w:tabs>
      <w:spacing w:before="0" w:after="0" w:line="240" w:lineRule="auto"/>
      <w:ind w:left="0" w:firstLine="640" w:firstLineChars="200"/>
    </w:pPr>
    <w:rPr>
      <w:rFonts w:hint="eastAsia" w:ascii="Calibri" w:hAnsi="Calibri" w:eastAsia="方正仿宋_GBK"/>
      <w:bCs w:val="0"/>
      <w:szCs w:val="24"/>
    </w:rPr>
  </w:style>
  <w:style w:type="character" w:customStyle="1" w:styleId="55">
    <w:name w:val="标题 2 字符"/>
    <w:link w:val="4"/>
    <w:semiHidden/>
    <w:qFormat/>
    <w:uiPriority w:val="0"/>
    <w:rPr>
      <w:rFonts w:ascii="Arial" w:hAnsi="Arial" w:eastAsia="黑体"/>
      <w:b/>
      <w:bCs/>
      <w:kern w:val="2"/>
      <w:sz w:val="32"/>
      <w:szCs w:val="32"/>
      <w:lang w:val="en-US" w:eastAsia="zh-CN" w:bidi="ar-SA"/>
    </w:rPr>
  </w:style>
  <w:style w:type="character" w:customStyle="1" w:styleId="56">
    <w:name w:val="graytext1"/>
    <w:qFormat/>
    <w:uiPriority w:val="0"/>
    <w:rPr>
      <w:color w:val="666666"/>
    </w:rPr>
  </w:style>
  <w:style w:type="character" w:customStyle="1" w:styleId="57">
    <w:name w:val="C1 Char"/>
    <w:link w:val="58"/>
    <w:qFormat/>
    <w:uiPriority w:val="0"/>
    <w:rPr>
      <w:bCs/>
      <w:kern w:val="44"/>
      <w:sz w:val="21"/>
      <w:szCs w:val="24"/>
      <w:lang w:bidi="ar-SA"/>
    </w:rPr>
  </w:style>
  <w:style w:type="paragraph" w:customStyle="1" w:styleId="58">
    <w:name w:val="C1"/>
    <w:basedOn w:val="1"/>
    <w:link w:val="57"/>
    <w:qFormat/>
    <w:uiPriority w:val="0"/>
    <w:pPr>
      <w:spacing w:after="120" w:line="360" w:lineRule="auto"/>
      <w:ind w:firstLine="368" w:firstLineChars="175"/>
    </w:pPr>
    <w:rPr>
      <w:bCs/>
      <w:kern w:val="44"/>
    </w:rPr>
  </w:style>
  <w:style w:type="character" w:customStyle="1" w:styleId="59">
    <w:name w:val="纯文本 字符"/>
    <w:link w:val="22"/>
    <w:qFormat/>
    <w:uiPriority w:val="99"/>
    <w:rPr>
      <w:rFonts w:ascii="宋体" w:hAnsi="Courier New" w:eastAsia="宋体"/>
      <w:kern w:val="2"/>
      <w:sz w:val="21"/>
      <w:lang w:val="en-US" w:eastAsia="zh-CN" w:bidi="ar-SA"/>
    </w:rPr>
  </w:style>
  <w:style w:type="character" w:customStyle="1" w:styleId="60">
    <w:name w:val="Title3 Char"/>
    <w:qFormat/>
    <w:uiPriority w:val="0"/>
    <w:rPr>
      <w:rFonts w:ascii="宋体" w:hAnsi="Courier New" w:eastAsia="宋体" w:cs="Times New Roman"/>
      <w:b/>
      <w:bCs/>
      <w:sz w:val="32"/>
      <w:szCs w:val="32"/>
    </w:rPr>
  </w:style>
  <w:style w:type="character" w:customStyle="1" w:styleId="61">
    <w:name w:val="纯文本 字符1"/>
    <w:qFormat/>
    <w:uiPriority w:val="0"/>
    <w:rPr>
      <w:rFonts w:ascii="宋体" w:hAnsi="Courier New" w:eastAsia="宋体" w:cs="Courier New"/>
      <w:kern w:val="2"/>
      <w:sz w:val="21"/>
      <w:szCs w:val="21"/>
      <w:lang w:val="en-US" w:eastAsia="zh-CN" w:bidi="ar-SA"/>
    </w:rPr>
  </w:style>
  <w:style w:type="character" w:customStyle="1" w:styleId="62">
    <w:name w:val="正文文本 字符"/>
    <w:link w:val="18"/>
    <w:qFormat/>
    <w:uiPriority w:val="0"/>
    <w:rPr>
      <w:rFonts w:ascii="宋体" w:eastAsia="宋体"/>
      <w:sz w:val="34"/>
      <w:lang w:val="en-US" w:eastAsia="zh-CN" w:bidi="ar-SA"/>
    </w:rPr>
  </w:style>
  <w:style w:type="character" w:customStyle="1" w:styleId="63">
    <w:name w:val="style51"/>
    <w:basedOn w:val="45"/>
    <w:qFormat/>
    <w:uiPriority w:val="0"/>
  </w:style>
  <w:style w:type="character" w:customStyle="1" w:styleId="64">
    <w:name w:val="批注文字 字符"/>
    <w:link w:val="16"/>
    <w:qFormat/>
    <w:uiPriority w:val="0"/>
    <w:rPr>
      <w:rFonts w:eastAsia="宋体"/>
      <w:kern w:val="2"/>
      <w:sz w:val="21"/>
      <w:szCs w:val="24"/>
      <w:lang w:val="en-US" w:eastAsia="zh-CN" w:bidi="ar-SA"/>
    </w:rPr>
  </w:style>
  <w:style w:type="character" w:customStyle="1" w:styleId="65">
    <w:name w:val="mark"/>
    <w:basedOn w:val="45"/>
    <w:qFormat/>
    <w:uiPriority w:val="0"/>
  </w:style>
  <w:style w:type="character" w:customStyle="1" w:styleId="66">
    <w:name w:val="标题 3 字符"/>
    <w:link w:val="5"/>
    <w:qFormat/>
    <w:uiPriority w:val="9"/>
    <w:rPr>
      <w:rFonts w:eastAsia="宋体"/>
      <w:b/>
      <w:bCs/>
      <w:kern w:val="2"/>
      <w:sz w:val="32"/>
      <w:szCs w:val="32"/>
      <w:lang w:val="en-US" w:eastAsia="zh-CN" w:bidi="ar-SA"/>
    </w:rPr>
  </w:style>
  <w:style w:type="character" w:customStyle="1" w:styleId="67">
    <w:name w:val="1051"/>
    <w:qFormat/>
    <w:uiPriority w:val="0"/>
    <w:rPr>
      <w:sz w:val="21"/>
      <w:szCs w:val="21"/>
    </w:rPr>
  </w:style>
  <w:style w:type="character" w:customStyle="1" w:styleId="68">
    <w:name w:val="style54"/>
    <w:basedOn w:val="45"/>
    <w:qFormat/>
    <w:uiPriority w:val="0"/>
  </w:style>
  <w:style w:type="character" w:customStyle="1" w:styleId="69">
    <w:name w:val="标题 5 字符"/>
    <w:link w:val="7"/>
    <w:qFormat/>
    <w:uiPriority w:val="0"/>
    <w:rPr>
      <w:b/>
      <w:kern w:val="2"/>
      <w:sz w:val="28"/>
    </w:rPr>
  </w:style>
  <w:style w:type="character" w:customStyle="1" w:styleId="70">
    <w:name w:val="标题 1 字符"/>
    <w:link w:val="3"/>
    <w:qFormat/>
    <w:uiPriority w:val="0"/>
    <w:rPr>
      <w:rFonts w:eastAsia="宋体"/>
      <w:b/>
      <w:bCs/>
      <w:kern w:val="2"/>
      <w:sz w:val="21"/>
      <w:szCs w:val="24"/>
      <w:lang w:val="en-US" w:eastAsia="zh-CN" w:bidi="ar-SA"/>
    </w:rPr>
  </w:style>
  <w:style w:type="character" w:customStyle="1" w:styleId="71">
    <w:name w:val="批注框文本 字符"/>
    <w:link w:val="26"/>
    <w:semiHidden/>
    <w:qFormat/>
    <w:uiPriority w:val="0"/>
    <w:rPr>
      <w:rFonts w:eastAsia="宋体"/>
      <w:kern w:val="2"/>
      <w:sz w:val="18"/>
      <w:szCs w:val="18"/>
      <w:lang w:val="en-US" w:eastAsia="zh-CN" w:bidi="ar-SA"/>
    </w:rPr>
  </w:style>
  <w:style w:type="character" w:customStyle="1" w:styleId="72">
    <w:name w:val="标题 7 字符"/>
    <w:link w:val="10"/>
    <w:qFormat/>
    <w:uiPriority w:val="0"/>
    <w:rPr>
      <w:b/>
      <w:kern w:val="2"/>
      <w:sz w:val="24"/>
    </w:rPr>
  </w:style>
  <w:style w:type="character" w:customStyle="1" w:styleId="73">
    <w:name w:val="正文文本 2 字符"/>
    <w:link w:val="36"/>
    <w:qFormat/>
    <w:uiPriority w:val="0"/>
    <w:rPr>
      <w:szCs w:val="24"/>
      <w:lang w:bidi="ar-SA"/>
    </w:rPr>
  </w:style>
  <w:style w:type="character" w:customStyle="1" w:styleId="74">
    <w:name w:val="正文文本 3 字符"/>
    <w:link w:val="17"/>
    <w:qFormat/>
    <w:uiPriority w:val="0"/>
    <w:rPr>
      <w:b/>
      <w:bCs/>
      <w:sz w:val="24"/>
      <w:szCs w:val="24"/>
      <w:lang w:bidi="ar-SA"/>
    </w:rPr>
  </w:style>
  <w:style w:type="character" w:customStyle="1" w:styleId="75">
    <w:name w:val="标题 8 字符"/>
    <w:link w:val="11"/>
    <w:qFormat/>
    <w:uiPriority w:val="0"/>
    <w:rPr>
      <w:rFonts w:ascii="Arial" w:hAnsi="Arial" w:eastAsia="黑体"/>
      <w:kern w:val="2"/>
      <w:sz w:val="24"/>
    </w:rPr>
  </w:style>
  <w:style w:type="character" w:customStyle="1" w:styleId="76">
    <w:name w:val="1ji Char"/>
    <w:link w:val="77"/>
    <w:qFormat/>
    <w:uiPriority w:val="0"/>
    <w:rPr>
      <w:rFonts w:ascii="宋体" w:hAnsi="宋体" w:eastAsia="宋体" w:cs="Times New Roman"/>
      <w:b/>
      <w:bCs/>
      <w:kern w:val="44"/>
      <w:sz w:val="36"/>
      <w:szCs w:val="44"/>
      <w:lang w:val="en-US" w:eastAsia="zh-CN" w:bidi="ar-SA"/>
    </w:rPr>
  </w:style>
  <w:style w:type="paragraph" w:customStyle="1" w:styleId="77">
    <w:name w:val="1ji"/>
    <w:basedOn w:val="3"/>
    <w:link w:val="76"/>
    <w:qFormat/>
    <w:uiPriority w:val="0"/>
    <w:pPr>
      <w:widowControl/>
      <w:spacing w:line="240" w:lineRule="auto"/>
      <w:jc w:val="center"/>
    </w:pPr>
    <w:rPr>
      <w:rFonts w:ascii="宋体" w:hAnsi="宋体"/>
      <w:kern w:val="44"/>
      <w:sz w:val="36"/>
      <w:szCs w:val="44"/>
    </w:rPr>
  </w:style>
  <w:style w:type="character" w:customStyle="1" w:styleId="78">
    <w:name w:val="页脚 字符"/>
    <w:link w:val="27"/>
    <w:qFormat/>
    <w:uiPriority w:val="0"/>
    <w:rPr>
      <w:rFonts w:ascii="宋体" w:hAnsi="Courier New" w:eastAsia="宋体"/>
      <w:kern w:val="2"/>
      <w:sz w:val="18"/>
      <w:lang w:val="en-US" w:eastAsia="zh-CN" w:bidi="ar-SA"/>
    </w:rPr>
  </w:style>
  <w:style w:type="character" w:customStyle="1" w:styleId="79">
    <w:name w:val="日期 字符"/>
    <w:link w:val="24"/>
    <w:qFormat/>
    <w:uiPriority w:val="0"/>
    <w:rPr>
      <w:rFonts w:eastAsia="宋体"/>
      <w:spacing w:val="30"/>
      <w:kern w:val="2"/>
      <w:sz w:val="28"/>
      <w:szCs w:val="24"/>
      <w:lang w:val="en-US" w:eastAsia="zh-CN" w:bidi="ar-SA"/>
    </w:rPr>
  </w:style>
  <w:style w:type="character" w:customStyle="1" w:styleId="80">
    <w:name w:val="页眉 字符"/>
    <w:link w:val="28"/>
    <w:qFormat/>
    <w:uiPriority w:val="0"/>
    <w:rPr>
      <w:rFonts w:ascii="宋体" w:hAnsi="Courier New" w:eastAsia="宋体"/>
      <w:kern w:val="2"/>
      <w:sz w:val="18"/>
      <w:lang w:val="en-US" w:eastAsia="zh-CN" w:bidi="ar-SA"/>
    </w:rPr>
  </w:style>
  <w:style w:type="character" w:customStyle="1" w:styleId="81">
    <w:name w:val="h Char"/>
    <w:qFormat/>
    <w:uiPriority w:val="0"/>
    <w:rPr>
      <w:rFonts w:eastAsia="宋体"/>
      <w:kern w:val="2"/>
      <w:sz w:val="18"/>
      <w:szCs w:val="18"/>
      <w:lang w:val="en-US" w:eastAsia="zh-CN" w:bidi="ar-SA"/>
    </w:rPr>
  </w:style>
  <w:style w:type="character" w:customStyle="1" w:styleId="82">
    <w:name w:val="文档结构图 字符"/>
    <w:link w:val="15"/>
    <w:semiHidden/>
    <w:qFormat/>
    <w:uiPriority w:val="0"/>
    <w:rPr>
      <w:rFonts w:eastAsia="宋体"/>
      <w:kern w:val="2"/>
      <w:sz w:val="21"/>
      <w:szCs w:val="24"/>
      <w:lang w:val="en-US" w:eastAsia="zh-CN" w:bidi="ar-SA"/>
    </w:rPr>
  </w:style>
  <w:style w:type="character" w:customStyle="1" w:styleId="83">
    <w:name w:val="H2 Char"/>
    <w:qFormat/>
    <w:uiPriority w:val="0"/>
    <w:rPr>
      <w:rFonts w:ascii="Arial" w:hAnsi="Arial" w:eastAsia="黑体" w:cs="Times New Roman"/>
      <w:b/>
      <w:bCs/>
      <w:sz w:val="32"/>
      <w:szCs w:val="32"/>
    </w:rPr>
  </w:style>
  <w:style w:type="character" w:customStyle="1" w:styleId="84">
    <w:name w:val="正文文本缩进 2 字符"/>
    <w:link w:val="25"/>
    <w:qFormat/>
    <w:uiPriority w:val="0"/>
    <w:rPr>
      <w:rFonts w:eastAsia="宋体"/>
      <w:kern w:val="2"/>
      <w:sz w:val="21"/>
      <w:szCs w:val="24"/>
      <w:lang w:val="en-US" w:eastAsia="zh-CN" w:bidi="ar-SA"/>
    </w:rPr>
  </w:style>
  <w:style w:type="character" w:customStyle="1" w:styleId="85">
    <w:name w:val="ksfind_class_select"/>
    <w:basedOn w:val="45"/>
    <w:qFormat/>
    <w:uiPriority w:val="0"/>
  </w:style>
  <w:style w:type="character" w:customStyle="1" w:styleId="86">
    <w:name w:val="正文文本缩进 3 字符"/>
    <w:link w:val="33"/>
    <w:qFormat/>
    <w:uiPriority w:val="0"/>
    <w:rPr>
      <w:rFonts w:eastAsia="宋体"/>
      <w:kern w:val="2"/>
      <w:sz w:val="21"/>
      <w:szCs w:val="24"/>
      <w:lang w:val="en-US" w:eastAsia="zh-CN" w:bidi="ar-SA"/>
    </w:rPr>
  </w:style>
  <w:style w:type="character" w:customStyle="1" w:styleId="87">
    <w:name w:val="HTML 预设格式 字符"/>
    <w:link w:val="37"/>
    <w:semiHidden/>
    <w:qFormat/>
    <w:uiPriority w:val="0"/>
    <w:rPr>
      <w:rFonts w:ascii="黑体" w:hAnsi="Courier New" w:eastAsia="黑体" w:cs="Courier New"/>
      <w:lang w:val="en-US" w:eastAsia="zh-CN" w:bidi="ar-SA"/>
    </w:rPr>
  </w:style>
  <w:style w:type="character" w:customStyle="1" w:styleId="88">
    <w:name w:val="H1 Char"/>
    <w:qFormat/>
    <w:uiPriority w:val="0"/>
    <w:rPr>
      <w:rFonts w:ascii="Times New Roman" w:hAnsi="Times New Roman" w:eastAsia="宋体" w:cs="Times New Roman"/>
      <w:b/>
      <w:bCs/>
      <w:kern w:val="44"/>
      <w:sz w:val="44"/>
      <w:szCs w:val="44"/>
    </w:rPr>
  </w:style>
  <w:style w:type="character" w:customStyle="1" w:styleId="89">
    <w:name w:val="标题 6 字符"/>
    <w:link w:val="9"/>
    <w:qFormat/>
    <w:uiPriority w:val="0"/>
    <w:rPr>
      <w:rFonts w:ascii="Arial" w:hAnsi="Arial" w:eastAsia="黑体"/>
      <w:b/>
      <w:kern w:val="2"/>
      <w:sz w:val="24"/>
    </w:rPr>
  </w:style>
  <w:style w:type="character" w:customStyle="1" w:styleId="90">
    <w:name w:val="列表段落 字符"/>
    <w:link w:val="91"/>
    <w:qFormat/>
    <w:uiPriority w:val="0"/>
    <w:rPr>
      <w:rFonts w:eastAsia="宋体"/>
      <w:kern w:val="2"/>
      <w:sz w:val="21"/>
      <w:szCs w:val="24"/>
      <w:lang w:val="en-US" w:eastAsia="zh-CN" w:bidi="ar-SA"/>
    </w:rPr>
  </w:style>
  <w:style w:type="paragraph" w:styleId="91">
    <w:name w:val="List Paragraph"/>
    <w:basedOn w:val="1"/>
    <w:link w:val="90"/>
    <w:qFormat/>
    <w:uiPriority w:val="34"/>
    <w:pPr>
      <w:ind w:firstLine="420" w:firstLineChars="200"/>
    </w:pPr>
  </w:style>
  <w:style w:type="character" w:customStyle="1" w:styleId="92">
    <w:name w:val="正文文本首行缩进 2 字符"/>
    <w:link w:val="42"/>
    <w:qFormat/>
    <w:uiPriority w:val="0"/>
    <w:rPr>
      <w:rFonts w:ascii="宋体" w:hAnsi="Courier New" w:eastAsia="宋体"/>
      <w:spacing w:val="-4"/>
      <w:kern w:val="2"/>
      <w:sz w:val="18"/>
      <w:szCs w:val="24"/>
      <w:lang w:val="en-US" w:eastAsia="zh-CN" w:bidi="ar-SA"/>
    </w:rPr>
  </w:style>
  <w:style w:type="character" w:customStyle="1" w:styleId="93">
    <w:name w:val="apple-style-span"/>
    <w:basedOn w:val="45"/>
    <w:qFormat/>
    <w:uiPriority w:val="0"/>
  </w:style>
  <w:style w:type="character" w:customStyle="1" w:styleId="94">
    <w:name w:val="f141"/>
    <w:qFormat/>
    <w:uiPriority w:val="0"/>
    <w:rPr>
      <w:sz w:val="21"/>
      <w:szCs w:val="21"/>
    </w:rPr>
  </w:style>
  <w:style w:type="character" w:customStyle="1" w:styleId="95">
    <w:name w:val="Char Char2"/>
    <w:semiHidden/>
    <w:qFormat/>
    <w:uiPriority w:val="0"/>
    <w:rPr>
      <w:rFonts w:ascii="宋体" w:hAnsi="Courier New" w:eastAsia="宋体"/>
      <w:spacing w:val="-4"/>
      <w:kern w:val="2"/>
      <w:sz w:val="18"/>
      <w:lang w:val="en-US" w:eastAsia="zh-CN" w:bidi="ar-SA"/>
    </w:rPr>
  </w:style>
  <w:style w:type="character" w:customStyle="1" w:styleId="96">
    <w:name w:val="style31"/>
    <w:qFormat/>
    <w:uiPriority w:val="0"/>
    <w:rPr>
      <w:sz w:val="18"/>
      <w:szCs w:val="18"/>
    </w:rPr>
  </w:style>
  <w:style w:type="character" w:customStyle="1" w:styleId="97">
    <w:name w:val="标题 4 字符"/>
    <w:link w:val="6"/>
    <w:qFormat/>
    <w:uiPriority w:val="0"/>
    <w:rPr>
      <w:rFonts w:ascii="宋体" w:hAnsi="Arial" w:eastAsia="黑体"/>
      <w:b/>
      <w:kern w:val="2"/>
      <w:sz w:val="24"/>
    </w:rPr>
  </w:style>
  <w:style w:type="character" w:customStyle="1" w:styleId="98">
    <w:name w:val="批注主题 字符"/>
    <w:link w:val="41"/>
    <w:semiHidden/>
    <w:qFormat/>
    <w:uiPriority w:val="0"/>
    <w:rPr>
      <w:rFonts w:ascii="Calibri" w:hAnsi="Calibri" w:eastAsia="宋体"/>
      <w:b/>
      <w:bCs/>
      <w:kern w:val="2"/>
      <w:sz w:val="21"/>
      <w:szCs w:val="24"/>
      <w:lang w:val="en-US" w:eastAsia="zh-CN" w:bidi="ar-SA"/>
    </w:rPr>
  </w:style>
  <w:style w:type="character" w:customStyle="1" w:styleId="99">
    <w:name w:val="标题 字符"/>
    <w:link w:val="40"/>
    <w:qFormat/>
    <w:uiPriority w:val="0"/>
    <w:rPr>
      <w:rFonts w:ascii="Arial" w:hAnsi="Arial" w:eastAsia="宋体" w:cs="Arial"/>
      <w:b/>
      <w:bCs/>
      <w:kern w:val="2"/>
      <w:sz w:val="32"/>
      <w:szCs w:val="32"/>
      <w:lang w:val="en-US" w:eastAsia="zh-CN" w:bidi="ar-SA"/>
    </w:rPr>
  </w:style>
  <w:style w:type="character" w:customStyle="1" w:styleId="100">
    <w:name w:val="unnamed21"/>
    <w:basedOn w:val="45"/>
    <w:qFormat/>
    <w:uiPriority w:val="0"/>
  </w:style>
  <w:style w:type="character" w:customStyle="1" w:styleId="101">
    <w:name w:val="small"/>
    <w:basedOn w:val="45"/>
    <w:qFormat/>
    <w:uiPriority w:val="0"/>
  </w:style>
  <w:style w:type="character" w:customStyle="1" w:styleId="102">
    <w:name w:val="标题 9 字符"/>
    <w:link w:val="12"/>
    <w:qFormat/>
    <w:uiPriority w:val="0"/>
    <w:rPr>
      <w:rFonts w:ascii="Arial" w:hAnsi="Arial" w:eastAsia="黑体"/>
      <w:kern w:val="2"/>
      <w:sz w:val="21"/>
    </w:rPr>
  </w:style>
  <w:style w:type="character" w:customStyle="1" w:styleId="103">
    <w:name w:val="正文文本缩进 字符"/>
    <w:link w:val="19"/>
    <w:qFormat/>
    <w:uiPriority w:val="0"/>
    <w:rPr>
      <w:rFonts w:ascii="宋体" w:hAnsi="Courier New" w:eastAsia="宋体"/>
      <w:spacing w:val="-4"/>
      <w:kern w:val="2"/>
      <w:sz w:val="18"/>
      <w:lang w:val="en-US" w:eastAsia="zh-CN" w:bidi="ar-SA"/>
    </w:rPr>
  </w:style>
  <w:style w:type="character" w:customStyle="1" w:styleId="104">
    <w:name w:val="Report Text Char"/>
    <w:link w:val="105"/>
    <w:qFormat/>
    <w:uiPriority w:val="0"/>
    <w:rPr>
      <w:rFonts w:ascii="Arial" w:hAnsi="Arial" w:eastAsia="宋体" w:cs="Tahoma"/>
      <w:kern w:val="28"/>
      <w:sz w:val="22"/>
      <w:lang w:val="en-US" w:eastAsia="zh-CN" w:bidi="ar-SA"/>
    </w:rPr>
  </w:style>
  <w:style w:type="paragraph" w:customStyle="1" w:styleId="105">
    <w:name w:val="Report Text"/>
    <w:basedOn w:val="1"/>
    <w:link w:val="104"/>
    <w:qFormat/>
    <w:uiPriority w:val="0"/>
    <w:pPr>
      <w:widowControl/>
      <w:spacing w:before="240" w:after="120"/>
      <w:ind w:left="1080"/>
    </w:pPr>
    <w:rPr>
      <w:rFonts w:ascii="Arial" w:hAnsi="Arial" w:cs="Tahoma"/>
      <w:kern w:val="28"/>
      <w:sz w:val="22"/>
      <w:szCs w:val="20"/>
    </w:rPr>
  </w:style>
  <w:style w:type="character" w:customStyle="1" w:styleId="106">
    <w:name w:val="普通文字 Char Char1"/>
    <w:semiHidden/>
    <w:qFormat/>
    <w:uiPriority w:val="0"/>
    <w:rPr>
      <w:rFonts w:ascii="宋体" w:hAnsi="Courier New" w:eastAsia="宋体"/>
      <w:kern w:val="2"/>
      <w:sz w:val="21"/>
      <w:lang w:val="en-US" w:eastAsia="zh-CN" w:bidi="ar-SA"/>
    </w:rPr>
  </w:style>
  <w:style w:type="character" w:customStyle="1" w:styleId="107">
    <w:name w:val="fl ml15 b fs14 mt2 titlecont 60_230_10_60_-50_25_true"/>
    <w:basedOn w:val="45"/>
    <w:qFormat/>
    <w:uiPriority w:val="0"/>
  </w:style>
  <w:style w:type="character" w:customStyle="1" w:styleId="108">
    <w:name w:val="header odd Char Char"/>
    <w:qFormat/>
    <w:uiPriority w:val="0"/>
    <w:rPr>
      <w:rFonts w:eastAsia="宋体"/>
      <w:kern w:val="2"/>
      <w:sz w:val="18"/>
      <w:szCs w:val="18"/>
      <w:lang w:val="en-US" w:eastAsia="zh-CN" w:bidi="ar-SA"/>
    </w:rPr>
  </w:style>
  <w:style w:type="character" w:customStyle="1" w:styleId="109">
    <w:name w:val="正文缩进 字符"/>
    <w:link w:val="8"/>
    <w:qFormat/>
    <w:locked/>
    <w:uiPriority w:val="0"/>
    <w:rPr>
      <w:rFonts w:eastAsia="宋体"/>
      <w:kern w:val="2"/>
      <w:sz w:val="21"/>
      <w:lang w:val="en-US" w:eastAsia="zh-CN" w:bidi="ar-SA"/>
    </w:rPr>
  </w:style>
  <w:style w:type="paragraph" w:customStyle="1" w:styleId="110">
    <w:name w:val="Report List"/>
    <w:basedOn w:val="1"/>
    <w:qFormat/>
    <w:uiPriority w:val="0"/>
    <w:pPr>
      <w:widowControl/>
      <w:tabs>
        <w:tab w:val="left" w:pos="1440"/>
      </w:tabs>
      <w:spacing w:before="120" w:after="120"/>
      <w:ind w:left="1440" w:hanging="360"/>
    </w:pPr>
    <w:rPr>
      <w:rFonts w:ascii="Arial" w:hAnsi="Arial" w:cs="Tahoma"/>
      <w:kern w:val="28"/>
      <w:sz w:val="22"/>
      <w:szCs w:val="20"/>
    </w:rPr>
  </w:style>
  <w:style w:type="paragraph" w:customStyle="1" w:styleId="111">
    <w:name w:val="Char Char Char Char Char Char Char Char Char Char Char Char Char Char Char Char"/>
    <w:basedOn w:val="1"/>
    <w:qFormat/>
    <w:uiPriority w:val="0"/>
    <w:pPr>
      <w:tabs>
        <w:tab w:val="left" w:pos="360"/>
      </w:tabs>
      <w:spacing w:line="360" w:lineRule="auto"/>
      <w:ind w:left="482" w:firstLine="200" w:firstLineChars="200"/>
    </w:pPr>
  </w:style>
  <w:style w:type="paragraph" w:customStyle="1" w:styleId="11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3">
    <w:name w:val="Char Char Char Char Char Char Char"/>
    <w:basedOn w:val="1"/>
    <w:qFormat/>
    <w:uiPriority w:val="0"/>
  </w:style>
  <w:style w:type="paragraph" w:customStyle="1" w:styleId="114">
    <w:name w:val="F2"/>
    <w:basedOn w:val="1"/>
    <w:qFormat/>
    <w:uiPriority w:val="0"/>
    <w:pPr>
      <w:autoSpaceDE w:val="0"/>
      <w:autoSpaceDN w:val="0"/>
      <w:adjustRightInd w:val="0"/>
      <w:ind w:firstLine="601"/>
      <w:textAlignment w:val="baseline"/>
    </w:pPr>
    <w:rPr>
      <w:kern w:val="0"/>
      <w:sz w:val="24"/>
      <w:szCs w:val="20"/>
    </w:rPr>
  </w:style>
  <w:style w:type="paragraph" w:customStyle="1" w:styleId="115">
    <w:name w:val="正文段"/>
    <w:basedOn w:val="1"/>
    <w:qFormat/>
    <w:uiPriority w:val="0"/>
    <w:pPr>
      <w:widowControl/>
      <w:snapToGrid w:val="0"/>
      <w:spacing w:afterLines="50"/>
      <w:ind w:firstLine="200" w:firstLineChars="200"/>
    </w:pPr>
    <w:rPr>
      <w:kern w:val="0"/>
      <w:sz w:val="24"/>
      <w:szCs w:val="20"/>
    </w:rPr>
  </w:style>
  <w:style w:type="paragraph" w:customStyle="1" w:styleId="116">
    <w:name w:val="Char Char Char Char Char Char Char1"/>
    <w:basedOn w:val="1"/>
    <w:qFormat/>
    <w:uiPriority w:val="0"/>
  </w:style>
  <w:style w:type="paragraph" w:customStyle="1" w:styleId="117">
    <w:name w:val="Char"/>
    <w:basedOn w:val="15"/>
    <w:qFormat/>
    <w:uiPriority w:val="0"/>
    <w:rPr>
      <w:rFonts w:ascii="Tahoma" w:hAnsi="Tahoma"/>
      <w:sz w:val="24"/>
    </w:rPr>
  </w:style>
  <w:style w:type="paragraph" w:customStyle="1" w:styleId="118">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1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0">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22">
    <w:name w:val="Char Char4 Char Char"/>
    <w:basedOn w:val="1"/>
    <w:qFormat/>
    <w:uiPriority w:val="0"/>
    <w:pPr>
      <w:widowControl/>
      <w:spacing w:after="160" w:line="240" w:lineRule="exact"/>
      <w:jc w:val="left"/>
    </w:pPr>
  </w:style>
  <w:style w:type="paragraph" w:customStyle="1" w:styleId="12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4">
    <w:name w:val="Char Char Char"/>
    <w:basedOn w:val="15"/>
    <w:qFormat/>
    <w:uiPriority w:val="0"/>
    <w:pPr>
      <w:shd w:val="clear" w:color="auto" w:fill="auto"/>
    </w:pPr>
    <w:rPr>
      <w:rFonts w:ascii="宋体" w:hAnsi="Calibri"/>
      <w:sz w:val="18"/>
      <w:szCs w:val="18"/>
    </w:rPr>
  </w:style>
  <w:style w:type="paragraph" w:customStyle="1" w:styleId="12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6">
    <w:name w:val="Char Char Char Char"/>
    <w:basedOn w:val="15"/>
    <w:qFormat/>
    <w:uiPriority w:val="0"/>
    <w:rPr>
      <w:rFonts w:ascii="Tahoma" w:hAnsi="Tahoma"/>
      <w:sz w:val="24"/>
    </w:rPr>
  </w:style>
  <w:style w:type="paragraph" w:customStyle="1" w:styleId="127">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28">
    <w:name w:val="1"/>
    <w:basedOn w:val="1"/>
    <w:next w:val="22"/>
    <w:qFormat/>
    <w:uiPriority w:val="0"/>
    <w:rPr>
      <w:rFonts w:ascii="宋体" w:hAnsi="Courier New"/>
      <w:szCs w:val="20"/>
    </w:rPr>
  </w:style>
  <w:style w:type="paragraph" w:customStyle="1" w:styleId="129">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130">
    <w:name w:val="p0"/>
    <w:basedOn w:val="1"/>
    <w:qFormat/>
    <w:uiPriority w:val="0"/>
    <w:pPr>
      <w:widowControl/>
    </w:pPr>
    <w:rPr>
      <w:kern w:val="0"/>
      <w:szCs w:val="21"/>
    </w:rPr>
  </w:style>
  <w:style w:type="paragraph" w:customStyle="1" w:styleId="131">
    <w:name w:val="样式3"/>
    <w:basedOn w:val="18"/>
    <w:qFormat/>
    <w:uiPriority w:val="0"/>
    <w:pPr>
      <w:autoSpaceDE/>
      <w:autoSpaceDN/>
      <w:adjustRightInd/>
      <w:spacing w:line="360" w:lineRule="auto"/>
      <w:jc w:val="both"/>
    </w:pPr>
    <w:rPr>
      <w:kern w:val="2"/>
      <w:sz w:val="21"/>
      <w:szCs w:val="24"/>
    </w:rPr>
  </w:style>
  <w:style w:type="paragraph" w:customStyle="1" w:styleId="13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msolistparagraph"/>
    <w:basedOn w:val="1"/>
    <w:qFormat/>
    <w:uiPriority w:val="0"/>
    <w:pPr>
      <w:widowControl/>
      <w:ind w:firstLine="420"/>
      <w:jc w:val="left"/>
    </w:pPr>
    <w:rPr>
      <w:rFonts w:ascii="宋体" w:hAnsi="宋体" w:cs="宋体"/>
      <w:kern w:val="0"/>
      <w:sz w:val="24"/>
    </w:rPr>
  </w:style>
  <w:style w:type="paragraph" w:customStyle="1" w:styleId="134">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
    <w:name w:val="Char1 Char Char Char Char Char Char"/>
    <w:basedOn w:val="1"/>
    <w:qFormat/>
    <w:uiPriority w:val="0"/>
    <w:rPr>
      <w:rFonts w:ascii="Tahoma" w:hAnsi="Tahoma"/>
      <w:sz w:val="24"/>
      <w:szCs w:val="20"/>
    </w:rPr>
  </w:style>
  <w:style w:type="paragraph" w:customStyle="1" w:styleId="136">
    <w:name w:val="paragraph1"/>
    <w:basedOn w:val="1"/>
    <w:qFormat/>
    <w:uiPriority w:val="0"/>
    <w:pPr>
      <w:spacing w:afterLines="20" w:line="300" w:lineRule="auto"/>
      <w:ind w:firstLine="200" w:firstLineChars="200"/>
    </w:pPr>
    <w:rPr>
      <w:sz w:val="24"/>
    </w:rPr>
  </w:style>
  <w:style w:type="paragraph" w:customStyle="1" w:styleId="1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38">
    <w:name w:val="Char1 Char Char Char Char Char Char1"/>
    <w:basedOn w:val="1"/>
    <w:qFormat/>
    <w:uiPriority w:val="0"/>
    <w:rPr>
      <w:rFonts w:ascii="Tahoma" w:hAnsi="Tahoma"/>
      <w:sz w:val="24"/>
      <w:szCs w:val="20"/>
    </w:rPr>
  </w:style>
  <w:style w:type="paragraph" w:customStyle="1" w:styleId="139">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0">
    <w:name w:val="默认段落字体 Para Char Char Char Char Char Char Char Char Char Char"/>
    <w:basedOn w:val="1"/>
    <w:qFormat/>
    <w:uiPriority w:val="0"/>
    <w:rPr>
      <w:kern w:val="0"/>
      <w:szCs w:val="20"/>
    </w:rPr>
  </w:style>
  <w:style w:type="paragraph" w:customStyle="1" w:styleId="141">
    <w:name w:val="默认段落字体 Para Char"/>
    <w:basedOn w:val="1"/>
    <w:qFormat/>
    <w:uiPriority w:val="0"/>
    <w:pPr>
      <w:adjustRightInd w:val="0"/>
      <w:spacing w:line="360" w:lineRule="auto"/>
    </w:pPr>
    <w:rPr>
      <w:kern w:val="0"/>
      <w:sz w:val="24"/>
      <w:szCs w:val="20"/>
    </w:rPr>
  </w:style>
  <w:style w:type="paragraph" w:customStyle="1" w:styleId="142">
    <w:name w:val="Char1 Char Char Char"/>
    <w:basedOn w:val="1"/>
    <w:qFormat/>
    <w:uiPriority w:val="0"/>
    <w:rPr>
      <w:rFonts w:ascii="Tahoma" w:hAnsi="Tahoma"/>
      <w:sz w:val="24"/>
      <w:szCs w:val="20"/>
    </w:rPr>
  </w:style>
  <w:style w:type="paragraph" w:customStyle="1" w:styleId="14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4">
    <w:name w:val="Char1"/>
    <w:basedOn w:val="15"/>
    <w:qFormat/>
    <w:uiPriority w:val="0"/>
    <w:rPr>
      <w:rFonts w:ascii="Tahoma" w:hAnsi="Tahoma"/>
      <w:sz w:val="24"/>
    </w:rPr>
  </w:style>
  <w:style w:type="paragraph" w:customStyle="1" w:styleId="145">
    <w:name w:val="样式1"/>
    <w:basedOn w:val="1"/>
    <w:qFormat/>
    <w:uiPriority w:val="0"/>
  </w:style>
  <w:style w:type="paragraph" w:customStyle="1" w:styleId="146">
    <w:name w:val="标记样式"/>
    <w:basedOn w:val="1"/>
    <w:qFormat/>
    <w:uiPriority w:val="0"/>
    <w:pPr>
      <w:tabs>
        <w:tab w:val="left" w:pos="0"/>
      </w:tabs>
      <w:spacing w:afterLines="50" w:line="316" w:lineRule="auto"/>
      <w:ind w:left="902" w:hanging="420"/>
    </w:pPr>
    <w:rPr>
      <w:rFonts w:ascii="Calibri" w:hAnsi="Calibri"/>
      <w:b/>
      <w:sz w:val="24"/>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9">
    <w:name w:val="默认段落字体 Para Char Char Char Char Char Char Char Char Char1 Char Char Char Char"/>
    <w:basedOn w:val="1"/>
    <w:qFormat/>
    <w:uiPriority w:val="0"/>
    <w:rPr>
      <w:rFonts w:ascii="Tahoma" w:hAnsi="Tahoma"/>
      <w:sz w:val="24"/>
      <w:szCs w:val="20"/>
    </w:rPr>
  </w:style>
  <w:style w:type="paragraph" w:customStyle="1" w:styleId="1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1">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52">
    <w:name w:val="样式 正文缩进 + 首行缩进:  2 字符 段前: 0.5 行"/>
    <w:basedOn w:val="1"/>
    <w:qFormat/>
    <w:uiPriority w:val="0"/>
    <w:pPr>
      <w:spacing w:beforeLines="50" w:line="300" w:lineRule="auto"/>
      <w:ind w:firstLine="480" w:firstLineChars="200"/>
    </w:pPr>
    <w:rPr>
      <w:rFonts w:cs="宋体"/>
      <w:szCs w:val="20"/>
    </w:rPr>
  </w:style>
  <w:style w:type="paragraph" w:customStyle="1" w:styleId="153">
    <w:name w:val="Char Char Char Char1"/>
    <w:basedOn w:val="15"/>
    <w:qFormat/>
    <w:uiPriority w:val="0"/>
    <w:rPr>
      <w:rFonts w:ascii="Tahoma" w:hAnsi="Tahoma"/>
      <w:sz w:val="24"/>
    </w:rPr>
  </w:style>
  <w:style w:type="character" w:customStyle="1" w:styleId="154">
    <w:name w:val="Char Char9"/>
    <w:qFormat/>
    <w:uiPriority w:val="0"/>
    <w:rPr>
      <w:rFonts w:ascii="Calibri" w:hAnsi="Calibri" w:eastAsia="宋体" w:cs="Times New Roman"/>
      <w:kern w:val="2"/>
      <w:sz w:val="18"/>
      <w:szCs w:val="18"/>
      <w:lang w:val="en-US" w:eastAsia="zh-CN" w:bidi="ar-SA"/>
    </w:rPr>
  </w:style>
  <w:style w:type="character" w:customStyle="1" w:styleId="155">
    <w:name w:val="正文文本缩进 2 Char1"/>
    <w:qFormat/>
    <w:uiPriority w:val="0"/>
    <w:rPr>
      <w:rFonts w:eastAsia="宋体"/>
      <w:kern w:val="2"/>
      <w:sz w:val="32"/>
      <w:lang w:val="en-US" w:eastAsia="zh-CN" w:bidi="ar-SA"/>
    </w:rPr>
  </w:style>
  <w:style w:type="character" w:customStyle="1" w:styleId="156">
    <w:name w:val="纯文本 Char1"/>
    <w:qFormat/>
    <w:uiPriority w:val="0"/>
    <w:rPr>
      <w:rFonts w:ascii="宋体" w:hAnsi="Courier New" w:eastAsia="宋体"/>
      <w:kern w:val="2"/>
      <w:sz w:val="21"/>
      <w:lang w:val="en-US" w:eastAsia="zh-CN" w:bidi="ar-SA"/>
    </w:rPr>
  </w:style>
  <w:style w:type="character" w:customStyle="1" w:styleId="157">
    <w:name w:val="副标题 字符"/>
    <w:basedOn w:val="45"/>
    <w:link w:val="31"/>
    <w:qFormat/>
    <w:uiPriority w:val="0"/>
    <w:rPr>
      <w:rFonts w:ascii="Calibri Light" w:hAnsi="Calibri Light"/>
      <w:b/>
      <w:bCs/>
      <w:kern w:val="28"/>
      <w:sz w:val="32"/>
      <w:szCs w:val="32"/>
    </w:rPr>
  </w:style>
  <w:style w:type="paragraph" w:customStyle="1" w:styleId="158">
    <w:name w:val="正文缩进1"/>
    <w:basedOn w:val="1"/>
    <w:qFormat/>
    <w:uiPriority w:val="99"/>
    <w:pPr>
      <w:widowControl/>
      <w:ind w:firstLine="510"/>
    </w:pPr>
    <w:rPr>
      <w:rFonts w:ascii="宋体"/>
      <w:sz w:val="24"/>
      <w:szCs w:val="20"/>
    </w:rPr>
  </w:style>
  <w:style w:type="paragraph" w:customStyle="1" w:styleId="15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6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6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63">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64">
    <w:name w:val="标题1"/>
    <w:basedOn w:val="40"/>
    <w:qFormat/>
    <w:uiPriority w:val="0"/>
    <w:pPr>
      <w:adjustRightInd w:val="0"/>
      <w:snapToGrid w:val="0"/>
      <w:spacing w:after="240" w:line="560" w:lineRule="exact"/>
      <w:ind w:firstLine="640" w:firstLineChars="200"/>
    </w:pPr>
    <w:rPr>
      <w:rFonts w:eastAsia="方正仿宋_GBK" w:cs="Times New Roman"/>
      <w:bCs w:val="0"/>
      <w:spacing w:val="2"/>
      <w:sz w:val="44"/>
      <w:szCs w:val="20"/>
    </w:rPr>
  </w:style>
  <w:style w:type="character" w:customStyle="1" w:styleId="165">
    <w:name w:val="font11"/>
    <w:basedOn w:val="45"/>
    <w:qFormat/>
    <w:uiPriority w:val="0"/>
    <w:rPr>
      <w:rFonts w:hint="eastAsia" w:ascii="方正仿宋_GBK" w:hAnsi="方正仿宋_GBK" w:eastAsia="方正仿宋_GBK" w:cs="方正仿宋_GBK"/>
      <w:color w:val="000000"/>
      <w:sz w:val="21"/>
      <w:szCs w:val="21"/>
      <w:u w:val="none"/>
    </w:rPr>
  </w:style>
  <w:style w:type="character" w:customStyle="1" w:styleId="166">
    <w:name w:val="font31"/>
    <w:basedOn w:val="45"/>
    <w:qFormat/>
    <w:uiPriority w:val="0"/>
    <w:rPr>
      <w:rFonts w:hint="eastAsia" w:ascii="方正仿宋_GBK" w:hAnsi="方正仿宋_GBK" w:eastAsia="方正仿宋_GBK" w:cs="方正仿宋_GBK"/>
      <w:color w:val="000000"/>
      <w:sz w:val="20"/>
      <w:szCs w:val="20"/>
      <w:u w:val="none"/>
    </w:rPr>
  </w:style>
  <w:style w:type="character" w:customStyle="1" w:styleId="167">
    <w:name w:val="font21"/>
    <w:basedOn w:val="45"/>
    <w:qFormat/>
    <w:uiPriority w:val="0"/>
    <w:rPr>
      <w:rFonts w:hint="eastAsia" w:ascii="方正仿宋_GBK" w:hAnsi="方正仿宋_GBK" w:eastAsia="方正仿宋_GBK" w:cs="方正仿宋_GBK"/>
      <w:color w:val="000000"/>
      <w:sz w:val="21"/>
      <w:szCs w:val="21"/>
      <w:u w:val="none"/>
    </w:rPr>
  </w:style>
  <w:style w:type="paragraph" w:customStyle="1" w:styleId="168">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169">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170">
    <w:name w:val="正文格式"/>
    <w:basedOn w:val="1"/>
    <w:qFormat/>
    <w:uiPriority w:val="0"/>
    <w:pPr>
      <w:spacing w:before="50" w:beforeLines="50" w:after="50" w:afterLines="50" w:line="360" w:lineRule="auto"/>
    </w:pPr>
    <w:rPr>
      <w:rFonts w:asciiTheme="minorHAnsi" w:hAnsiTheme="minorHAnsi" w:eastAsiaTheme="minorEastAsia"/>
    </w:rPr>
  </w:style>
  <w:style w:type="paragraph" w:customStyle="1" w:styleId="171">
    <w:name w:val="正文1"/>
    <w:basedOn w:val="1"/>
    <w:qFormat/>
    <w:uiPriority w:val="0"/>
    <w:pPr>
      <w:spacing w:line="480" w:lineRule="exact"/>
      <w:ind w:firstLine="567" w:firstLineChars="200"/>
    </w:pPr>
    <w:rPr>
      <w:rFonts w:ascii="仿宋" w:hAnsi="仿宋" w:eastAsia="仿宋_GB2312"/>
      <w:kern w:val="0"/>
      <w:sz w:val="28"/>
      <w:szCs w:val="20"/>
    </w:rPr>
  </w:style>
  <w:style w:type="paragraph" w:customStyle="1" w:styleId="172">
    <w:name w:val="Normal_1_1"/>
    <w:qFormat/>
    <w:uiPriority w:val="0"/>
    <w:pPr>
      <w:spacing w:before="120" w:after="240"/>
      <w:jc w:val="both"/>
    </w:pPr>
    <w:rPr>
      <w:rFonts w:ascii="Times New Roman" w:hAnsi="Times New Roman" w:eastAsia="Calibri" w:cs="Times New Roman"/>
      <w:sz w:val="22"/>
      <w:szCs w:val="22"/>
      <w:lang w:val="en-US" w:eastAsia="en-US" w:bidi="ar-SA"/>
    </w:rPr>
  </w:style>
  <w:style w:type="character" w:customStyle="1" w:styleId="173">
    <w:name w:val="font41"/>
    <w:basedOn w:val="45"/>
    <w:qFormat/>
    <w:uiPriority w:val="0"/>
    <w:rPr>
      <w:rFonts w:hint="eastAsia" w:ascii="宋体" w:hAnsi="宋体" w:eastAsia="宋体" w:cs="宋体"/>
      <w:b/>
      <w:bCs/>
      <w:color w:val="000000"/>
      <w:sz w:val="22"/>
      <w:szCs w:val="22"/>
      <w:u w:val="none"/>
    </w:rPr>
  </w:style>
  <w:style w:type="character" w:customStyle="1" w:styleId="174">
    <w:name w:val="font81"/>
    <w:basedOn w:val="45"/>
    <w:qFormat/>
    <w:uiPriority w:val="0"/>
    <w:rPr>
      <w:rFonts w:hint="eastAsia" w:ascii="宋体" w:hAnsi="宋体" w:eastAsia="宋体" w:cs="宋体"/>
      <w:color w:val="000000"/>
      <w:sz w:val="22"/>
      <w:szCs w:val="22"/>
      <w:u w:val="none"/>
    </w:rPr>
  </w:style>
  <w:style w:type="character" w:customStyle="1" w:styleId="175">
    <w:name w:val="font71"/>
    <w:basedOn w:val="45"/>
    <w:qFormat/>
    <w:uiPriority w:val="0"/>
    <w:rPr>
      <w:rFonts w:hint="eastAsia" w:ascii="宋体" w:hAnsi="宋体" w:eastAsia="宋体" w:cs="宋体"/>
      <w:color w:val="FFFFFF"/>
      <w:sz w:val="21"/>
      <w:szCs w:val="21"/>
      <w:u w:val="none"/>
    </w:rPr>
  </w:style>
  <w:style w:type="character" w:customStyle="1" w:styleId="176">
    <w:name w:val="font51"/>
    <w:basedOn w:val="45"/>
    <w:qFormat/>
    <w:uiPriority w:val="0"/>
    <w:rPr>
      <w:rFonts w:hint="eastAsia" w:ascii="宋体" w:hAnsi="宋体" w:eastAsia="宋体" w:cs="宋体"/>
      <w:color w:val="000000"/>
      <w:sz w:val="22"/>
      <w:szCs w:val="22"/>
      <w:u w:val="none"/>
    </w:rPr>
  </w:style>
  <w:style w:type="character" w:customStyle="1" w:styleId="177">
    <w:name w:val="font91"/>
    <w:basedOn w:val="45"/>
    <w:qFormat/>
    <w:uiPriority w:val="0"/>
    <w:rPr>
      <w:rFonts w:hint="eastAsia" w:ascii="宋体" w:hAnsi="宋体" w:eastAsia="宋体" w:cs="宋体"/>
      <w:color w:val="FFFFFF"/>
      <w:sz w:val="21"/>
      <w:szCs w:val="21"/>
      <w:u w:val="none"/>
    </w:rPr>
  </w:style>
  <w:style w:type="paragraph" w:customStyle="1" w:styleId="17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79">
    <w:name w:val="列出段落"/>
    <w:basedOn w:val="1"/>
    <w:qFormat/>
    <w:uiPriority w:val="0"/>
    <w:pPr>
      <w:widowControl/>
      <w:ind w:firstLine="420" w:firstLineChars="200"/>
      <w:jc w:val="left"/>
    </w:pPr>
    <w:rPr>
      <w:rFonts w:ascii="Arial" w:hAnsi="Arial" w:eastAsia="PMingLiU"/>
      <w:kern w:val="0"/>
      <w:sz w:val="20"/>
      <w:szCs w:val="20"/>
      <w:lang w:val="en-GB" w:eastAsia="en-US"/>
    </w:rPr>
  </w:style>
  <w:style w:type="paragraph" w:customStyle="1" w:styleId="180">
    <w:name w:val="列表段落1"/>
    <w:basedOn w:val="1"/>
    <w:qFormat/>
    <w:uiPriority w:val="1"/>
    <w:pPr>
      <w:ind w:left="842" w:hanging="242"/>
    </w:pPr>
  </w:style>
  <w:style w:type="paragraph" w:customStyle="1" w:styleId="181">
    <w:name w:val="Level 1"/>
    <w:qFormat/>
    <w:uiPriority w:val="0"/>
    <w:pPr>
      <w:numPr>
        <w:ilvl w:val="0"/>
        <w:numId w:val="2"/>
      </w:numPr>
      <w:tabs>
        <w:tab w:val="left" w:pos="720"/>
        <w:tab w:val="left" w:pos="1425"/>
        <w:tab w:val="left" w:pos="2355"/>
        <w:tab w:val="right" w:pos="10440"/>
      </w:tabs>
      <w:spacing w:after="240"/>
      <w:jc w:val="both"/>
    </w:pPr>
    <w:rPr>
      <w:rFonts w:ascii="Times New Roman" w:hAnsi="Times New Roman" w:eastAsia="宋体" w:cs="Times New Roman"/>
      <w:snapToGrid w:val="0"/>
      <w:color w:val="000000"/>
      <w:sz w:val="24"/>
      <w:lang w:val="en-US" w:eastAsia="en-US" w:bidi="ar-SA"/>
    </w:rPr>
  </w:style>
  <w:style w:type="paragraph" w:customStyle="1" w:styleId="18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Fifth Edition" SelectedStyle="\APA.XSL"/>
</file>

<file path=customXml/itemProps1.xml><?xml version="1.0" encoding="utf-8"?>
<ds:datastoreItem xmlns:ds="http://schemas.openxmlformats.org/officeDocument/2006/customXml" ds:itemID="{C81E12BA-4D64-4837-BDFD-BA6FFC672E40}">
  <ds:schemaRefs/>
</ds:datastoreItem>
</file>

<file path=docProps/app.xml><?xml version="1.0" encoding="utf-8"?>
<Properties xmlns="http://schemas.openxmlformats.org/officeDocument/2006/extended-properties" xmlns:vt="http://schemas.openxmlformats.org/officeDocument/2006/docPropsVTypes">
  <Company>kwzb</Company>
  <Pages>35</Pages>
  <Words>3077</Words>
  <Characters>17542</Characters>
  <Lines>146</Lines>
  <Paragraphs>41</Paragraphs>
  <TotalTime>1</TotalTime>
  <ScaleCrop>false</ScaleCrop>
  <LinksUpToDate>false</LinksUpToDate>
  <CharactersWithSpaces>20578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2023-06-20T02:23:00Z</dcterms:created>
  <dc:creator>LZH</dc:creator>
  <cp:lastModifiedBy>黄莹</cp:lastModifiedBy>
  <cp:lastPrinted>2024-05-11T15:11:00Z</cp:lastPrinted>
  <dcterms:modified xsi:type="dcterms:W3CDTF">2024-06-11T08:59:26Z</dcterms:modified>
  <dc:title>广西科文招标有限公司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33A2BEE3D6DA47AEBFB37DA226370664</vt:lpwstr>
  </property>
</Properties>
</file>