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b/>
        </w:rPr>
      </w:pPr>
      <w:bookmarkStart w:id="11" w:name="_GoBack"/>
      <w:bookmarkEnd w:id="11"/>
    </w:p>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sz w:val="30"/>
          <w:szCs w:val="72"/>
        </w:rPr>
      </w:pPr>
    </w:p>
    <w:p>
      <w:pPr>
        <w:pStyle w:val="22"/>
        <w:jc w:val="center"/>
        <w:rPr>
          <w:rFonts w:ascii="方正仿宋_GBK" w:hAnsi="方正仿宋_GBK" w:eastAsia="方正仿宋_GBK" w:cs="方正仿宋_GBK"/>
          <w:b/>
          <w:spacing w:val="-18"/>
          <w:sz w:val="96"/>
        </w:rPr>
      </w:pPr>
    </w:p>
    <w:p>
      <w:pPr>
        <w:pStyle w:val="22"/>
        <w:jc w:val="center"/>
        <w:rPr>
          <w:rFonts w:ascii="方正仿宋_GBK" w:hAnsi="方正仿宋_GBK" w:eastAsia="方正仿宋_GBK" w:cs="方正仿宋_GBK"/>
          <w:sz w:val="72"/>
          <w:szCs w:val="72"/>
        </w:rPr>
      </w:pPr>
      <w:r>
        <w:rPr>
          <w:rFonts w:hint="eastAsia" w:ascii="方正仿宋_GBK" w:hAnsi="方正仿宋_GBK" w:eastAsia="方正仿宋_GBK" w:cs="方正仿宋_GBK"/>
          <w:b/>
          <w:bCs/>
          <w:sz w:val="72"/>
          <w:szCs w:val="72"/>
        </w:rPr>
        <w:t>竞争性磋商采购文件</w:t>
      </w: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ind w:firstLine="1200" w:firstLineChars="400"/>
        <w:rPr>
          <w:rFonts w:ascii="方正仿宋_GBK" w:hAnsi="方正仿宋_GBK" w:eastAsia="方正仿宋_GBK" w:cs="方正仿宋_GBK"/>
          <w:bCs/>
          <w:sz w:val="30"/>
          <w:szCs w:val="72"/>
        </w:rPr>
      </w:pPr>
      <w:r>
        <w:rPr>
          <w:rFonts w:hint="eastAsia" w:ascii="方正仿宋_GBK" w:hAnsi="方正仿宋_GBK" w:eastAsia="方正仿宋_GBK" w:cs="方正仿宋_GBK"/>
          <w:bCs/>
          <w:sz w:val="30"/>
          <w:szCs w:val="72"/>
        </w:rPr>
        <w:t>项目名称：广西北部湾银行</w:t>
      </w:r>
      <w:r>
        <w:rPr>
          <w:rFonts w:hint="eastAsia" w:ascii="方正仿宋_GBK" w:hAnsi="方正仿宋_GBK" w:eastAsia="方正仿宋_GBK" w:cs="方正仿宋_GBK"/>
          <w:bCs/>
          <w:sz w:val="30"/>
          <w:szCs w:val="72"/>
          <w:lang w:val="en-US" w:eastAsia="zh-CN"/>
        </w:rPr>
        <w:t>数据中心柴发</w:t>
      </w:r>
      <w:r>
        <w:rPr>
          <w:rFonts w:hint="eastAsia" w:ascii="方正仿宋_GBK" w:hAnsi="方正仿宋_GBK" w:eastAsia="方正仿宋_GBK" w:cs="方正仿宋_GBK"/>
          <w:bCs/>
          <w:sz w:val="30"/>
          <w:szCs w:val="72"/>
        </w:rPr>
        <w:t>系统维保项目</w:t>
      </w:r>
    </w:p>
    <w:p>
      <w:pPr>
        <w:pStyle w:val="22"/>
        <w:ind w:firstLine="1200" w:firstLineChars="400"/>
        <w:rPr>
          <w:rFonts w:ascii="方正仿宋_GBK" w:hAnsi="方正仿宋_GBK" w:eastAsia="方正仿宋_GBK" w:cs="方正仿宋_GBK"/>
          <w:bCs/>
          <w:sz w:val="30"/>
          <w:szCs w:val="72"/>
        </w:rPr>
      </w:pPr>
      <w:r>
        <w:rPr>
          <w:rFonts w:hint="eastAsia" w:ascii="方正仿宋_GBK" w:hAnsi="方正仿宋_GBK" w:eastAsia="方正仿宋_GBK" w:cs="方正仿宋_GBK"/>
          <w:bCs/>
          <w:sz w:val="30"/>
          <w:szCs w:val="72"/>
        </w:rPr>
        <w:t>项目编号：</w:t>
      </w:r>
      <w:r>
        <w:rPr>
          <w:rFonts w:hint="eastAsia" w:ascii="方正仿宋_GBK" w:hAnsi="方正仿宋_GBK" w:eastAsia="方正仿宋_GBK" w:cs="方正仿宋_GBK"/>
          <w:bCs/>
          <w:sz w:val="30"/>
          <w:szCs w:val="72"/>
          <w:lang w:eastAsia="zh-CN"/>
        </w:rPr>
        <w:t>20240803</w:t>
      </w:r>
    </w:p>
    <w:p>
      <w:pPr>
        <w:pStyle w:val="22"/>
        <w:ind w:left="3439" w:leftChars="926" w:hanging="1494" w:hangingChars="496"/>
        <w:rPr>
          <w:rFonts w:ascii="方正仿宋_GBK" w:hAnsi="方正仿宋_GBK" w:eastAsia="方正仿宋_GBK" w:cs="方正仿宋_GBK"/>
          <w:b/>
          <w:sz w:val="30"/>
          <w:szCs w:val="72"/>
        </w:rPr>
      </w:pPr>
    </w:p>
    <w:p>
      <w:pPr>
        <w:pStyle w:val="22"/>
        <w:ind w:left="3439" w:leftChars="926" w:hanging="1494" w:hangingChars="496"/>
        <w:rPr>
          <w:rFonts w:ascii="方正仿宋_GBK" w:hAnsi="方正仿宋_GBK" w:eastAsia="方正仿宋_GBK" w:cs="方正仿宋_GBK"/>
          <w:b/>
          <w:sz w:val="30"/>
          <w:szCs w:val="72"/>
        </w:rPr>
      </w:pPr>
    </w:p>
    <w:p>
      <w:pPr>
        <w:pStyle w:val="22"/>
        <w:ind w:left="3439" w:leftChars="926" w:hanging="1494" w:hangingChars="496"/>
        <w:rPr>
          <w:rFonts w:ascii="方正仿宋_GBK" w:hAnsi="方正仿宋_GBK" w:eastAsia="方正仿宋_GBK" w:cs="方正仿宋_GBK"/>
          <w:b/>
          <w:sz w:val="30"/>
          <w:szCs w:val="72"/>
        </w:rPr>
      </w:pPr>
    </w:p>
    <w:p>
      <w:pPr>
        <w:pStyle w:val="22"/>
        <w:ind w:left="3439" w:leftChars="926" w:hanging="1494" w:hangingChars="496"/>
        <w:rPr>
          <w:rFonts w:ascii="方正仿宋_GBK" w:hAnsi="方正仿宋_GBK" w:eastAsia="方正仿宋_GBK" w:cs="方正仿宋_GBK"/>
          <w:b/>
          <w:sz w:val="30"/>
          <w:szCs w:val="72"/>
        </w:rPr>
      </w:pPr>
    </w:p>
    <w:p>
      <w:pPr>
        <w:pStyle w:val="22"/>
        <w:ind w:left="3439" w:leftChars="926" w:hanging="1494" w:hangingChars="496"/>
        <w:rPr>
          <w:rFonts w:ascii="方正仿宋_GBK" w:hAnsi="方正仿宋_GBK" w:eastAsia="方正仿宋_GBK" w:cs="方正仿宋_GBK"/>
          <w:b/>
          <w:sz w:val="30"/>
          <w:szCs w:val="72"/>
        </w:rPr>
      </w:pPr>
      <w:r>
        <w:rPr>
          <w:rFonts w:hint="eastAsia" w:ascii="方正仿宋_GBK" w:hAnsi="方正仿宋_GBK" w:eastAsia="方正仿宋_GBK" w:cs="方正仿宋_GBK"/>
          <w:b/>
          <w:sz w:val="30"/>
          <w:szCs w:val="72"/>
        </w:rPr>
        <w:t>采购单位：广西北部湾银行股份有限公司</w:t>
      </w:r>
    </w:p>
    <w:p>
      <w:pPr>
        <w:pStyle w:val="22"/>
        <w:ind w:firstLine="3915" w:firstLineChars="1300"/>
        <w:rPr>
          <w:rFonts w:ascii="方正仿宋_GBK" w:hAnsi="方正仿宋_GBK" w:eastAsia="方正仿宋_GBK" w:cs="方正仿宋_GBK"/>
          <w:b/>
          <w:sz w:val="30"/>
          <w:szCs w:val="72"/>
        </w:rPr>
      </w:pPr>
      <w:r>
        <w:rPr>
          <w:rFonts w:hint="eastAsia" w:ascii="方正仿宋_GBK" w:hAnsi="方正仿宋_GBK" w:eastAsia="方正仿宋_GBK" w:cs="方正仿宋_GBK"/>
          <w:b/>
          <w:sz w:val="30"/>
          <w:szCs w:val="72"/>
        </w:rPr>
        <w:t>2024年</w:t>
      </w:r>
      <w:r>
        <w:rPr>
          <w:rFonts w:hint="eastAsia" w:ascii="方正仿宋_GBK" w:hAnsi="方正仿宋_GBK" w:eastAsia="方正仿宋_GBK" w:cs="方正仿宋_GBK"/>
          <w:b/>
          <w:sz w:val="30"/>
          <w:szCs w:val="72"/>
          <w:lang w:val="en-US" w:eastAsia="zh-CN"/>
        </w:rPr>
        <w:t>9</w:t>
      </w:r>
      <w:r>
        <w:rPr>
          <w:rFonts w:hint="eastAsia" w:ascii="方正仿宋_GBK" w:hAnsi="方正仿宋_GBK" w:eastAsia="方正仿宋_GBK" w:cs="方正仿宋_GBK"/>
          <w:b/>
          <w:sz w:val="30"/>
          <w:szCs w:val="72"/>
        </w:rPr>
        <w:t>月</w:t>
      </w:r>
    </w:p>
    <w:p>
      <w:pPr>
        <w:jc w:val="center"/>
        <w:rPr>
          <w:rFonts w:ascii="方正仿宋_GBK" w:hAnsi="方正仿宋_GBK" w:eastAsia="方正仿宋_GBK" w:cs="方正仿宋_GBK"/>
        </w:rPr>
        <w:sectPr>
          <w:footerReference r:id="rId6" w:type="first"/>
          <w:headerReference r:id="rId3" w:type="default"/>
          <w:footerReference r:id="rId4" w:type="default"/>
          <w:footerReference r:id="rId5" w:type="even"/>
          <w:pgSz w:w="11906" w:h="16838"/>
          <w:pgMar w:top="1418" w:right="1418" w:bottom="1418" w:left="1418" w:header="720" w:footer="720" w:gutter="0"/>
          <w:pgNumType w:start="0"/>
          <w:cols w:space="720" w:num="1"/>
          <w:docGrid w:type="lines" w:linePitch="312" w:charSpace="0"/>
        </w:sectPr>
      </w:pPr>
    </w:p>
    <w:p>
      <w:pPr>
        <w:pStyle w:val="22"/>
        <w:snapToGrid w:val="0"/>
        <w:spacing w:line="360" w:lineRule="auto"/>
        <w:jc w:val="center"/>
        <w:rPr>
          <w:rFonts w:ascii="方正仿宋_GBK" w:hAnsi="方正仿宋_GBK" w:eastAsia="方正仿宋_GBK" w:cs="方正仿宋_GBK"/>
          <w:b/>
          <w:sz w:val="44"/>
          <w:szCs w:val="44"/>
        </w:rPr>
      </w:pPr>
    </w:p>
    <w:p>
      <w:pPr>
        <w:pStyle w:val="22"/>
        <w:snapToGrid w:val="0"/>
        <w:spacing w:line="360" w:lineRule="auto"/>
        <w:jc w:val="center"/>
        <w:rPr>
          <w:rFonts w:ascii="方正仿宋_GBK" w:hAnsi="方正仿宋_GBK" w:eastAsia="方正仿宋_GBK" w:cs="方正仿宋_GBK"/>
          <w:b/>
          <w:sz w:val="44"/>
          <w:szCs w:val="44"/>
        </w:rPr>
      </w:pPr>
    </w:p>
    <w:p>
      <w:pPr>
        <w:pStyle w:val="22"/>
        <w:snapToGrid w:val="0"/>
        <w:spacing w:line="360" w:lineRule="auto"/>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pStyle w:val="29"/>
        <w:tabs>
          <w:tab w:val="right" w:leader="dot" w:pos="9402"/>
        </w:tabs>
        <w:spacing w:line="600" w:lineRule="exact"/>
        <w:rPr>
          <w:rFonts w:ascii="方正仿宋_GBK" w:hAnsi="方正仿宋_GBK" w:eastAsia="方正仿宋_GBK" w:cs="方正仿宋_GBK"/>
          <w:b w:val="0"/>
          <w:bCs w:val="0"/>
          <w:caps w:val="0"/>
          <w:sz w:val="30"/>
          <w:szCs w:val="30"/>
        </w:rPr>
      </w:pPr>
      <w:r>
        <w:rPr>
          <w:rFonts w:hint="eastAsia" w:ascii="方正仿宋_GBK" w:hAnsi="方正仿宋_GBK" w:eastAsia="方正仿宋_GBK" w:cs="方正仿宋_GBK"/>
          <w:b w:val="0"/>
          <w:sz w:val="30"/>
          <w:szCs w:val="30"/>
        </w:rPr>
        <w:fldChar w:fldCharType="begin"/>
      </w:r>
      <w:r>
        <w:rPr>
          <w:rFonts w:hint="eastAsia" w:ascii="方正仿宋_GBK" w:hAnsi="方正仿宋_GBK" w:eastAsia="方正仿宋_GBK" w:cs="方正仿宋_GBK"/>
          <w:b w:val="0"/>
          <w:sz w:val="30"/>
          <w:szCs w:val="30"/>
        </w:rPr>
        <w:instrText xml:space="preserve"> TOC \o "1-1" \h \z \u </w:instrText>
      </w:r>
      <w:r>
        <w:rPr>
          <w:rFonts w:hint="eastAsia" w:ascii="方正仿宋_GBK" w:hAnsi="方正仿宋_GBK" w:eastAsia="方正仿宋_GBK" w:cs="方正仿宋_GBK"/>
          <w:b w:val="0"/>
          <w:sz w:val="30"/>
          <w:szCs w:val="30"/>
        </w:rPr>
        <w:fldChar w:fldCharType="separate"/>
      </w:r>
      <w:r>
        <w:fldChar w:fldCharType="begin"/>
      </w:r>
      <w:r>
        <w:instrText xml:space="preserve"> HYPERLINK \l "_Toc58064531" </w:instrText>
      </w:r>
      <w:r>
        <w:fldChar w:fldCharType="separate"/>
      </w:r>
      <w:r>
        <w:rPr>
          <w:rStyle w:val="50"/>
          <w:rFonts w:hint="eastAsia" w:ascii="方正仿宋_GBK" w:hAnsi="方正仿宋_GBK" w:eastAsia="方正仿宋_GBK" w:cs="方正仿宋_GBK"/>
          <w:color w:val="auto"/>
          <w:sz w:val="30"/>
          <w:szCs w:val="30"/>
        </w:rPr>
        <w:t>竞争性磋商公告</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_Toc58064531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29"/>
        <w:tabs>
          <w:tab w:val="right" w:leader="dot" w:pos="9402"/>
        </w:tabs>
        <w:spacing w:line="600" w:lineRule="exact"/>
        <w:rPr>
          <w:rFonts w:ascii="方正仿宋_GBK" w:hAnsi="方正仿宋_GBK" w:eastAsia="方正仿宋_GBK" w:cs="方正仿宋_GBK"/>
          <w:b w:val="0"/>
          <w:bCs w:val="0"/>
          <w:caps w:val="0"/>
          <w:sz w:val="30"/>
          <w:szCs w:val="30"/>
        </w:rPr>
      </w:pPr>
      <w:r>
        <w:fldChar w:fldCharType="begin"/>
      </w:r>
      <w:r>
        <w:instrText xml:space="preserve"> HYPERLINK \l "_Toc58064532" </w:instrText>
      </w:r>
      <w:r>
        <w:fldChar w:fldCharType="separate"/>
      </w:r>
      <w:r>
        <w:rPr>
          <w:rStyle w:val="50"/>
          <w:rFonts w:hint="eastAsia" w:ascii="方正仿宋_GBK" w:hAnsi="方正仿宋_GBK" w:eastAsia="方正仿宋_GBK" w:cs="方正仿宋_GBK"/>
          <w:color w:val="auto"/>
          <w:sz w:val="30"/>
          <w:szCs w:val="30"/>
        </w:rPr>
        <w:t>第一章 磋商供应商须知前附表</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sz w:val="30"/>
          <w:szCs w:val="30"/>
        </w:rPr>
        <w:fldChar w:fldCharType="end"/>
      </w:r>
    </w:p>
    <w:p>
      <w:pPr>
        <w:pStyle w:val="29"/>
        <w:tabs>
          <w:tab w:val="right" w:leader="dot" w:pos="9402"/>
        </w:tabs>
        <w:spacing w:line="600" w:lineRule="exact"/>
        <w:rPr>
          <w:rFonts w:hint="eastAsia" w:ascii="方正仿宋_GBK" w:hAnsi="方正仿宋_GBK" w:eastAsia="方正仿宋_GBK" w:cs="方正仿宋_GBK"/>
          <w:b w:val="0"/>
          <w:bCs w:val="0"/>
          <w:caps w:val="0"/>
          <w:sz w:val="30"/>
          <w:szCs w:val="30"/>
          <w:lang w:eastAsia="zh-CN"/>
        </w:rPr>
      </w:pPr>
      <w:r>
        <w:fldChar w:fldCharType="begin"/>
      </w:r>
      <w:r>
        <w:instrText xml:space="preserve"> HYPERLINK \l "_Toc58064533" </w:instrText>
      </w:r>
      <w:r>
        <w:fldChar w:fldCharType="separate"/>
      </w:r>
      <w:r>
        <w:rPr>
          <w:rStyle w:val="50"/>
          <w:rFonts w:hint="eastAsia" w:ascii="方正仿宋_GBK" w:hAnsi="方正仿宋_GBK" w:eastAsia="方正仿宋_GBK" w:cs="方正仿宋_GBK"/>
          <w:color w:val="auto"/>
          <w:sz w:val="30"/>
          <w:szCs w:val="30"/>
        </w:rPr>
        <w:t>第二章 评标方法</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_Toc58064533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lang w:val="en-US" w:eastAsia="zh-CN"/>
        </w:rPr>
        <w:t>2</w:t>
      </w:r>
    </w:p>
    <w:p>
      <w:pPr>
        <w:pStyle w:val="29"/>
        <w:tabs>
          <w:tab w:val="right" w:leader="dot" w:pos="9402"/>
        </w:tabs>
        <w:spacing w:line="600" w:lineRule="exact"/>
        <w:rPr>
          <w:rFonts w:hint="eastAsia" w:ascii="方正仿宋_GBK" w:hAnsi="方正仿宋_GBK" w:eastAsia="方正仿宋_GBK" w:cs="方正仿宋_GBK"/>
          <w:b w:val="0"/>
          <w:bCs w:val="0"/>
          <w:caps w:val="0"/>
          <w:sz w:val="30"/>
          <w:szCs w:val="30"/>
          <w:lang w:eastAsia="zh-CN"/>
        </w:rPr>
      </w:pPr>
      <w:r>
        <w:fldChar w:fldCharType="begin"/>
      </w:r>
      <w:r>
        <w:instrText xml:space="preserve"> HYPERLINK \l "_Toc58064534" </w:instrText>
      </w:r>
      <w:r>
        <w:fldChar w:fldCharType="separate"/>
      </w:r>
      <w:r>
        <w:rPr>
          <w:rStyle w:val="50"/>
          <w:rFonts w:hint="eastAsia" w:ascii="方正仿宋_GBK" w:hAnsi="方正仿宋_GBK" w:eastAsia="方正仿宋_GBK" w:cs="方正仿宋_GBK"/>
          <w:color w:val="auto"/>
          <w:sz w:val="30"/>
          <w:szCs w:val="30"/>
        </w:rPr>
        <w:t>第三章 采购需求</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lang w:val="en-US" w:eastAsia="zh-CN"/>
        </w:rPr>
        <w:t>4</w:t>
      </w:r>
    </w:p>
    <w:p>
      <w:pPr>
        <w:pStyle w:val="29"/>
        <w:tabs>
          <w:tab w:val="right" w:leader="dot" w:pos="9402"/>
        </w:tabs>
        <w:spacing w:line="600" w:lineRule="exact"/>
        <w:rPr>
          <w:rFonts w:hint="default" w:ascii="方正仿宋_GBK" w:hAnsi="方正仿宋_GBK" w:eastAsia="方正仿宋_GBK" w:cs="方正仿宋_GBK"/>
          <w:sz w:val="30"/>
          <w:szCs w:val="30"/>
          <w:lang w:val="en-US" w:eastAsia="zh-CN"/>
        </w:rPr>
      </w:pPr>
      <w:r>
        <w:fldChar w:fldCharType="begin"/>
      </w:r>
      <w:r>
        <w:instrText xml:space="preserve"> HYPERLINK \l "_Toc58064535" </w:instrText>
      </w:r>
      <w:r>
        <w:fldChar w:fldCharType="separate"/>
      </w:r>
      <w:r>
        <w:rPr>
          <w:rStyle w:val="50"/>
          <w:rFonts w:hint="eastAsia" w:ascii="方正仿宋_GBK" w:hAnsi="方正仿宋_GBK" w:eastAsia="方正仿宋_GBK" w:cs="方正仿宋_GBK"/>
          <w:color w:val="auto"/>
          <w:sz w:val="30"/>
          <w:szCs w:val="30"/>
        </w:rPr>
        <w:t>第四章 磋商响应文件基本格式</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lang w:val="en-US" w:eastAsia="zh-CN"/>
        </w:rPr>
        <w:t>22</w:t>
      </w:r>
    </w:p>
    <w:p>
      <w:pPr>
        <w:pStyle w:val="29"/>
        <w:tabs>
          <w:tab w:val="right" w:leader="dot" w:pos="9402"/>
        </w:tabs>
        <w:spacing w:line="600" w:lineRule="exact"/>
        <w:rPr>
          <w:rFonts w:hint="default" w:ascii="方正仿宋_GBK" w:hAnsi="方正仿宋_GBK" w:eastAsia="方正仿宋_GBK" w:cs="方正仿宋_GBK"/>
          <w:b w:val="0"/>
          <w:bCs w:val="0"/>
          <w:caps w:val="0"/>
          <w:sz w:val="30"/>
          <w:szCs w:val="30"/>
          <w:lang w:val="en-US" w:eastAsia="zh-CN"/>
        </w:rPr>
      </w:pPr>
      <w:r>
        <w:fldChar w:fldCharType="begin"/>
      </w:r>
      <w:r>
        <w:instrText xml:space="preserve"> HYPERLINK \l "_Toc58064536" </w:instrText>
      </w:r>
      <w:r>
        <w:fldChar w:fldCharType="separate"/>
      </w:r>
      <w:r>
        <w:rPr>
          <w:rStyle w:val="50"/>
          <w:rFonts w:hint="eastAsia" w:ascii="方正仿宋_GBK" w:hAnsi="方正仿宋_GBK" w:eastAsia="方正仿宋_GBK" w:cs="方正仿宋_GBK"/>
          <w:color w:val="auto"/>
          <w:sz w:val="30"/>
          <w:szCs w:val="30"/>
        </w:rPr>
        <w:t>第五章 合同格式</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lang w:val="en-US" w:eastAsia="zh-CN"/>
        </w:rPr>
        <w:t>32</w:t>
      </w:r>
    </w:p>
    <w:p/>
    <w:p>
      <w:pPr>
        <w:pStyle w:val="22"/>
        <w:spacing w:line="600" w:lineRule="exact"/>
        <w:ind w:left="412" w:leftChars="196"/>
        <w:rPr>
          <w:rFonts w:ascii="方正仿宋_GBK" w:hAnsi="方正仿宋_GBK" w:eastAsia="方正仿宋_GBK" w:cs="方正仿宋_GBK"/>
          <w:b/>
          <w:sz w:val="32"/>
          <w:szCs w:val="32"/>
        </w:rPr>
      </w:pPr>
      <w:r>
        <w:rPr>
          <w:rFonts w:hint="eastAsia" w:ascii="方正仿宋_GBK" w:hAnsi="方正仿宋_GBK" w:eastAsia="方正仿宋_GBK" w:cs="方正仿宋_GBK"/>
          <w:b/>
          <w:sz w:val="30"/>
          <w:szCs w:val="30"/>
        </w:rPr>
        <w:fldChar w:fldCharType="end"/>
      </w:r>
    </w:p>
    <w:p>
      <w:pPr>
        <w:spacing w:line="480" w:lineRule="exact"/>
        <w:jc w:val="center"/>
        <w:rPr>
          <w:rFonts w:ascii="方正仿宋_GBK" w:hAnsi="方正仿宋_GBK" w:eastAsia="方正仿宋_GBK" w:cs="方正仿宋_GBK"/>
          <w:b/>
          <w:sz w:val="36"/>
          <w:szCs w:val="44"/>
        </w:rPr>
      </w:pPr>
      <w:r>
        <w:rPr>
          <w:rFonts w:hint="eastAsia" w:ascii="方正仿宋_GBK" w:hAnsi="方正仿宋_GBK" w:eastAsia="方正仿宋_GBK" w:cs="方正仿宋_GBK"/>
          <w:sz w:val="32"/>
        </w:rPr>
        <w:br w:type="page"/>
      </w:r>
    </w:p>
    <w:p>
      <w:pPr>
        <w:jc w:val="center"/>
        <w:outlineLvl w:val="0"/>
        <w:rPr>
          <w:rFonts w:ascii="方正小标宋_GBK" w:hAnsi="方正小标宋_GBK" w:eastAsia="方正小标宋_GBK" w:cs="方正小标宋_GBK"/>
          <w:bCs/>
          <w:sz w:val="32"/>
        </w:rPr>
      </w:pPr>
      <w:bookmarkStart w:id="0" w:name="_Toc58064531"/>
      <w:r>
        <w:rPr>
          <w:rFonts w:hint="eastAsia" w:ascii="方正小标宋_GBK" w:hAnsi="方正小标宋_GBK" w:eastAsia="方正小标宋_GBK" w:cs="方正小标宋_GBK"/>
          <w:bCs/>
          <w:sz w:val="32"/>
          <w:szCs w:val="32"/>
        </w:rPr>
        <w:t>广西北部湾银行数据中心柴发系统维保项目(</w:t>
      </w:r>
      <w:r>
        <w:rPr>
          <w:rFonts w:hint="eastAsia" w:ascii="方正小标宋_GBK" w:hAnsi="方正小标宋_GBK" w:eastAsia="方正小标宋_GBK" w:cs="方正小标宋_GBK"/>
          <w:bCs/>
          <w:sz w:val="32"/>
          <w:szCs w:val="32"/>
          <w:lang w:eastAsia="zh-CN"/>
        </w:rPr>
        <w:t>20240803</w:t>
      </w:r>
      <w:r>
        <w:rPr>
          <w:rFonts w:hint="eastAsia" w:ascii="方正小标宋_GBK" w:hAnsi="方正小标宋_GBK" w:eastAsia="方正小标宋_GBK" w:cs="方正小标宋_GBK"/>
          <w:bCs/>
          <w:sz w:val="32"/>
          <w:szCs w:val="32"/>
        </w:rPr>
        <w:t>)竞争性磋商公告</w:t>
      </w:r>
      <w:bookmarkEnd w:id="0"/>
    </w:p>
    <w:p>
      <w:pPr>
        <w:snapToGrid w:val="0"/>
        <w:spacing w:line="400" w:lineRule="exact"/>
        <w:ind w:firstLine="440" w:firstLineChars="200"/>
        <w:rPr>
          <w:rFonts w:ascii="方正仿宋_GBK" w:hAnsi="方正仿宋_GBK" w:eastAsia="方正仿宋_GBK" w:cs="方正仿宋_GBK"/>
          <w:sz w:val="22"/>
          <w:szCs w:val="21"/>
        </w:rPr>
      </w:pPr>
      <w:bookmarkStart w:id="1" w:name="_Toc58064532"/>
    </w:p>
    <w:p>
      <w:pPr>
        <w:snapToGrid w:val="0"/>
        <w:spacing w:line="400" w:lineRule="exact"/>
        <w:ind w:firstLine="422" w:firstLineChars="200"/>
        <w:rPr>
          <w:rFonts w:ascii="方正仿宋_GBK" w:hAnsi="方正仿宋_GBK" w:eastAsia="方正仿宋_GBK" w:cs="方正仿宋_GBK"/>
          <w:szCs w:val="21"/>
        </w:rPr>
      </w:pPr>
      <w:r>
        <w:rPr>
          <w:rFonts w:hint="eastAsia" w:ascii="方正仿宋_GBK" w:hAnsi="方正仿宋_GBK" w:eastAsia="方正仿宋_GBK" w:cs="方正仿宋_GBK"/>
          <w:b/>
          <w:szCs w:val="21"/>
        </w:rPr>
        <w:t>广西北部湾银行股份有限公司拟</w:t>
      </w:r>
      <w:r>
        <w:rPr>
          <w:rFonts w:hint="eastAsia" w:ascii="方正仿宋_GBK" w:hAnsi="方正仿宋_GBK" w:eastAsia="方正仿宋_GBK" w:cs="方正仿宋_GBK"/>
          <w:szCs w:val="21"/>
        </w:rPr>
        <w:t>对</w:t>
      </w:r>
      <w:r>
        <w:rPr>
          <w:rFonts w:hint="eastAsia" w:ascii="方正仿宋_GBK" w:hAnsi="方正仿宋_GBK" w:eastAsia="方正仿宋_GBK" w:cs="方正仿宋_GBK"/>
          <w:b/>
          <w:szCs w:val="21"/>
        </w:rPr>
        <w:t>广西北部湾银行</w:t>
      </w:r>
      <w:r>
        <w:rPr>
          <w:rFonts w:hint="eastAsia" w:ascii="方正仿宋_GBK" w:hAnsi="方正仿宋_GBK" w:eastAsia="方正仿宋_GBK" w:cs="方正仿宋_GBK"/>
          <w:b/>
          <w:bCs/>
          <w:szCs w:val="21"/>
        </w:rPr>
        <w:t>数据中心柴发系统维保项目</w:t>
      </w:r>
      <w:r>
        <w:rPr>
          <w:rFonts w:hint="eastAsia" w:ascii="方正仿宋_GBK" w:hAnsi="方正仿宋_GBK" w:eastAsia="方正仿宋_GBK" w:cs="方正仿宋_GBK"/>
          <w:szCs w:val="21"/>
        </w:rPr>
        <w:t xml:space="preserve">进行竞争性磋商采购，现将有关事项公告如下： </w:t>
      </w:r>
    </w:p>
    <w:p>
      <w:pPr>
        <w:spacing w:line="400" w:lineRule="exact"/>
        <w:ind w:firstLine="422" w:firstLineChars="200"/>
        <w:rPr>
          <w:rFonts w:ascii="方正仿宋_GBK" w:hAnsi="方正仿宋_GBK" w:eastAsia="方正仿宋_GBK" w:cs="方正仿宋_GBK"/>
          <w:szCs w:val="21"/>
        </w:rPr>
      </w:pPr>
      <w:r>
        <w:rPr>
          <w:rFonts w:hint="eastAsia" w:ascii="方正仿宋_GBK" w:hAnsi="方正仿宋_GBK" w:eastAsia="方正仿宋_GBK" w:cs="方正仿宋_GBK"/>
          <w:b/>
          <w:szCs w:val="21"/>
        </w:rPr>
        <w:t>一、项目名称</w:t>
      </w:r>
      <w:r>
        <w:rPr>
          <w:rFonts w:hint="eastAsia" w:ascii="方正仿宋_GBK" w:hAnsi="方正仿宋_GBK" w:eastAsia="方正仿宋_GBK" w:cs="方正仿宋_GBK"/>
          <w:b/>
          <w:bCs/>
          <w:szCs w:val="21"/>
        </w:rPr>
        <w:t>：广西北部湾银行</w:t>
      </w:r>
      <w:r>
        <w:rPr>
          <w:rFonts w:hint="eastAsia" w:ascii="方正仿宋_GBK" w:hAnsi="方正仿宋_GBK" w:eastAsia="方正仿宋_GBK" w:cs="方正仿宋_GBK"/>
          <w:b/>
          <w:bCs/>
          <w:szCs w:val="21"/>
          <w:lang w:val="en-US" w:eastAsia="zh-CN"/>
        </w:rPr>
        <w:t>数据中心柴发</w:t>
      </w:r>
      <w:r>
        <w:rPr>
          <w:rFonts w:hint="eastAsia" w:ascii="方正仿宋_GBK" w:hAnsi="方正仿宋_GBK" w:eastAsia="方正仿宋_GBK" w:cs="方正仿宋_GBK"/>
          <w:b/>
          <w:bCs/>
          <w:szCs w:val="21"/>
        </w:rPr>
        <w:t>系统维保项目</w:t>
      </w:r>
    </w:p>
    <w:p>
      <w:pPr>
        <w:spacing w:line="400" w:lineRule="exact"/>
        <w:ind w:firstLine="422" w:firstLineChars="200"/>
        <w:rPr>
          <w:rFonts w:hint="eastAsia" w:ascii="方正仿宋_GBK" w:hAnsi="方正仿宋_GBK" w:eastAsia="方正仿宋_GBK" w:cs="方正仿宋_GBK"/>
          <w:b/>
          <w:szCs w:val="21"/>
          <w:lang w:eastAsia="zh-CN"/>
        </w:rPr>
      </w:pPr>
      <w:r>
        <w:rPr>
          <w:rFonts w:hint="eastAsia" w:ascii="方正仿宋_GBK" w:hAnsi="方正仿宋_GBK" w:eastAsia="方正仿宋_GBK" w:cs="方正仿宋_GBK"/>
          <w:b/>
          <w:szCs w:val="21"/>
        </w:rPr>
        <w:t>二、项目编号：</w:t>
      </w:r>
      <w:r>
        <w:rPr>
          <w:rFonts w:hint="eastAsia" w:ascii="方正仿宋_GBK" w:hAnsi="方正仿宋_GBK" w:eastAsia="方正仿宋_GBK" w:cs="方正仿宋_GBK"/>
          <w:b/>
          <w:szCs w:val="21"/>
          <w:lang w:eastAsia="zh-CN"/>
        </w:rPr>
        <w:t>20240803</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三、预算金额：不公布</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四、采购方式：竞争性磋商</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五、采购内容</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bCs/>
          <w:szCs w:val="21"/>
        </w:rPr>
        <w:t>广西北部湾银行</w:t>
      </w:r>
      <w:r>
        <w:rPr>
          <w:rFonts w:hint="eastAsia" w:ascii="方正仿宋_GBK" w:hAnsi="方正仿宋_GBK" w:eastAsia="方正仿宋_GBK" w:cs="方正仿宋_GBK"/>
          <w:b/>
          <w:bCs/>
          <w:szCs w:val="21"/>
          <w:lang w:val="en-US" w:eastAsia="zh-CN"/>
        </w:rPr>
        <w:t>数据中心柴发</w:t>
      </w:r>
      <w:r>
        <w:rPr>
          <w:rFonts w:hint="eastAsia" w:ascii="方正仿宋_GBK" w:hAnsi="方正仿宋_GBK" w:eastAsia="方正仿宋_GBK" w:cs="方正仿宋_GBK"/>
          <w:b/>
          <w:bCs/>
          <w:szCs w:val="21"/>
        </w:rPr>
        <w:t>系统维保项目 1项</w:t>
      </w:r>
      <w:r>
        <w:rPr>
          <w:rFonts w:hint="eastAsia" w:ascii="方正仿宋_GBK" w:hAnsi="方正仿宋_GBK" w:eastAsia="方正仿宋_GBK" w:cs="方正仿宋_GBK"/>
          <w:b/>
          <w:szCs w:val="21"/>
        </w:rPr>
        <w:t>；如需进一步了解详细内容</w:t>
      </w:r>
      <w:r>
        <w:rPr>
          <w:rFonts w:hint="eastAsia" w:ascii="方正仿宋_GBK" w:hAnsi="方正仿宋_GBK" w:eastAsia="方正仿宋_GBK" w:cs="方正仿宋_GBK"/>
          <w:b/>
          <w:bCs/>
          <w:szCs w:val="21"/>
        </w:rPr>
        <w:t>，详见本公告附件：竞争性磋商采购文件</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六、磋商供应商资格：</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（一）须为在中华人民共和国境内依法注册，具有独立承担民事责任的能力和经营许可，具有独立签订合同的权利，具备为本项目提供相关产品及服务能力的法人单位；</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（二）遵守国家有关法律、法规，具有良好的商业信誉和健全的财务会计制度；</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三）近三年内，在经营活动中没有重大违法记录和不良信用记录，对在“信用中国”(www.ceditchina.gov.cn)网站被列入失信被执行人、重大税收违法失信主体、经营异常名录、政府采购严重违法失信行为记录名单的供应商，将被拒绝参与本次采购活动；</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（四）经采购人认定在广西北部湾银行以往采购项目中没有过欺骗、欺诈等不良行为或不良记录；</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五）竞标人之间不得存在下列情形之一：具有投资控股关系的关联企业，或具有直接管理和被管理关系的母子公司，或同一母公司的子公司，或法定代表人为同一个人的两个及两个以上法人，或某一竞标人的高管或高管的亲属为另一竞标人的高管等可能会导致其在本次采购活动中行动一致的，如存在以上情形内的任意一种，均不得参加</w:t>
      </w:r>
      <w:r>
        <w:rPr>
          <w:rFonts w:hint="eastAsia" w:ascii="方正仿宋_GBK" w:hAnsi="方正仿宋_GBK" w:eastAsia="方正仿宋_GBK" w:cs="方正仿宋_GBK"/>
          <w:szCs w:val="21"/>
          <w:lang w:eastAsia="zh-CN"/>
        </w:rPr>
        <w:t>同一标段竞标或者未划分标段的同一项目竞标</w:t>
      </w:r>
      <w:r>
        <w:rPr>
          <w:rFonts w:hint="eastAsia" w:ascii="方正仿宋_GBK" w:hAnsi="方正仿宋_GBK" w:eastAsia="方正仿宋_GBK" w:cs="方正仿宋_GBK"/>
          <w:szCs w:val="21"/>
        </w:rPr>
        <w:t>；</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（六）本项目为整体方案采购，不接受联合体投标，不接受转包或分包。</w:t>
      </w:r>
    </w:p>
    <w:p>
      <w:pPr>
        <w:spacing w:line="400" w:lineRule="exact"/>
        <w:ind w:firstLine="422" w:firstLineChars="200"/>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七、采购文件的获取</w:t>
      </w:r>
    </w:p>
    <w:p>
      <w:pPr>
        <w:spacing w:line="400" w:lineRule="exact"/>
        <w:ind w:firstLine="420" w:firstLineChars="200"/>
        <w:rPr>
          <w:rFonts w:hint="eastAsia" w:ascii="方正仿宋_GBK" w:hAnsi="方正仿宋_GBK" w:eastAsia="方正仿宋_GBK" w:cs="方正仿宋_GBK"/>
          <w:b w:val="0"/>
          <w:bCs/>
          <w:color w:val="auto"/>
          <w:szCs w:val="21"/>
        </w:rPr>
      </w:pPr>
      <w:r>
        <w:rPr>
          <w:rFonts w:hint="eastAsia" w:ascii="方正仿宋_GBK" w:hAnsi="方正仿宋_GBK" w:eastAsia="方正仿宋_GBK" w:cs="方正仿宋_GBK"/>
          <w:b w:val="0"/>
          <w:bCs/>
          <w:color w:val="auto"/>
          <w:szCs w:val="21"/>
        </w:rPr>
        <w:t>本项目只提供电子版采购文件，请潜在合格供应商于公告之日起至2024年</w:t>
      </w:r>
      <w:r>
        <w:rPr>
          <w:rFonts w:hint="eastAsia" w:ascii="方正仿宋_GBK" w:hAnsi="方正仿宋_GBK" w:eastAsia="方正仿宋_GBK" w:cs="方正仿宋_GBK"/>
          <w:b w:val="0"/>
          <w:bCs/>
          <w:color w:val="auto"/>
          <w:szCs w:val="21"/>
          <w:lang w:val="en-US" w:eastAsia="zh-CN"/>
        </w:rPr>
        <w:t>10</w:t>
      </w:r>
      <w:r>
        <w:rPr>
          <w:rFonts w:hint="eastAsia" w:ascii="方正仿宋_GBK" w:hAnsi="方正仿宋_GBK" w:eastAsia="方正仿宋_GBK" w:cs="方正仿宋_GBK"/>
          <w:b w:val="0"/>
          <w:bCs/>
          <w:color w:val="auto"/>
          <w:szCs w:val="21"/>
        </w:rPr>
        <w:t>月</w:t>
      </w:r>
      <w:r>
        <w:rPr>
          <w:rFonts w:hint="eastAsia" w:ascii="方正仿宋_GBK" w:hAnsi="方正仿宋_GBK" w:eastAsia="方正仿宋_GBK" w:cs="方正仿宋_GBK"/>
          <w:b w:val="0"/>
          <w:bCs/>
          <w:color w:val="auto"/>
          <w:szCs w:val="21"/>
          <w:lang w:val="en-US" w:eastAsia="zh-CN"/>
        </w:rPr>
        <w:t>9</w:t>
      </w:r>
      <w:r>
        <w:rPr>
          <w:rFonts w:hint="eastAsia" w:ascii="方正仿宋_GBK" w:hAnsi="方正仿宋_GBK" w:eastAsia="方正仿宋_GBK" w:cs="方正仿宋_GBK"/>
          <w:b w:val="0"/>
          <w:bCs/>
          <w:color w:val="auto"/>
          <w:szCs w:val="21"/>
        </w:rPr>
        <w:t>日下午18:00止，登陆广西北部湾银行官网（www.bankofbbg.com）,在线下载完成采购文件的获取。获取方式：网站首页“关于我行”之“采购信息-采购公告”栏目中点击下载。</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lang w:val="en-US" w:eastAsia="zh-CN"/>
        </w:rPr>
        <w:t>八</w:t>
      </w:r>
      <w:r>
        <w:rPr>
          <w:rFonts w:hint="eastAsia" w:ascii="方正仿宋_GBK" w:hAnsi="方正仿宋_GBK" w:eastAsia="方正仿宋_GBK" w:cs="方正仿宋_GBK"/>
          <w:b/>
          <w:szCs w:val="21"/>
        </w:rPr>
        <w:t>、响应文件递交截止时间和地点：本项目无报名环节，响应文件必须以密封形式于2024年</w:t>
      </w:r>
      <w:r>
        <w:rPr>
          <w:rFonts w:hint="eastAsia" w:ascii="方正仿宋_GBK" w:hAnsi="方正仿宋_GBK" w:eastAsia="方正仿宋_GBK" w:cs="方正仿宋_GBK"/>
          <w:b/>
          <w:szCs w:val="21"/>
          <w:lang w:val="en-US" w:eastAsia="zh-CN"/>
        </w:rPr>
        <w:t>10</w:t>
      </w:r>
      <w:r>
        <w:rPr>
          <w:rFonts w:hint="eastAsia" w:ascii="方正仿宋_GBK" w:hAnsi="方正仿宋_GBK" w:eastAsia="方正仿宋_GBK" w:cs="方正仿宋_GBK"/>
          <w:b/>
          <w:szCs w:val="21"/>
        </w:rPr>
        <w:t>月</w:t>
      </w:r>
      <w:r>
        <w:rPr>
          <w:rFonts w:hint="eastAsia" w:ascii="方正仿宋_GBK" w:hAnsi="方正仿宋_GBK" w:eastAsia="方正仿宋_GBK" w:cs="方正仿宋_GBK"/>
          <w:b/>
          <w:szCs w:val="21"/>
          <w:lang w:val="en-US" w:eastAsia="zh-CN"/>
        </w:rPr>
        <w:t>9</w:t>
      </w:r>
      <w:r>
        <w:rPr>
          <w:rFonts w:hint="eastAsia" w:ascii="方正仿宋_GBK" w:hAnsi="方正仿宋_GBK" w:eastAsia="方正仿宋_GBK" w:cs="方正仿宋_GBK"/>
          <w:b/>
          <w:szCs w:val="21"/>
        </w:rPr>
        <w:t>日18时整前在广西北部湾银行（南宁市良庆区云英路8号五象总部大厦A座905办公室）递交，逾期不受理。</w:t>
      </w:r>
    </w:p>
    <w:p>
      <w:pPr>
        <w:spacing w:line="400" w:lineRule="exact"/>
        <w:ind w:firstLine="422" w:firstLineChars="200"/>
        <w:rPr>
          <w:rFonts w:ascii="方正仿宋_GBK" w:hAnsi="方正仿宋_GBK" w:eastAsia="方正仿宋_GBK" w:cs="方正仿宋_GBK"/>
          <w:bCs/>
          <w:szCs w:val="21"/>
        </w:rPr>
      </w:pPr>
      <w:r>
        <w:rPr>
          <w:rFonts w:hint="eastAsia" w:ascii="方正仿宋_GBK" w:hAnsi="方正仿宋_GBK" w:eastAsia="方正仿宋_GBK" w:cs="方正仿宋_GBK"/>
          <w:b/>
          <w:szCs w:val="21"/>
        </w:rPr>
        <w:t>（一）采用现场提交的，需遵守以下规定：</w:t>
      </w:r>
      <w:r>
        <w:rPr>
          <w:rFonts w:hint="eastAsia" w:ascii="方正仿宋_GBK" w:hAnsi="方正仿宋_GBK" w:eastAsia="方正仿宋_GBK" w:cs="方正仿宋_GBK"/>
          <w:bCs/>
          <w:szCs w:val="21"/>
        </w:rPr>
        <w:t>供应商应在响应文件提交起止时间内，将响应文件密封送达投标地点，未在规定时间内送达或者未按照采购文件要求密封的响应文件，将予以拒收。</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（二）采用邮寄方式提交的，需遵守以下规定：</w:t>
      </w:r>
    </w:p>
    <w:p>
      <w:pPr>
        <w:spacing w:line="400" w:lineRule="exact"/>
        <w:ind w:firstLine="420" w:firstLineChars="200"/>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竞标人应预留邮寄响应文件行程的足够时间，如邮寄的响应文件无法在报价截止时间前送达的（寄出不能等同于送达；快递公司网站显示送达不能等同于实际送达），或者未按照采购文件要求密封的响应文件，将予以拒收，后果由供应商自行承担。</w:t>
      </w:r>
    </w:p>
    <w:p>
      <w:pPr>
        <w:spacing w:line="400" w:lineRule="exact"/>
        <w:ind w:firstLine="420" w:firstLineChars="200"/>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2.响应文件在邮寄过程中破损或遗失的，其后果由供应商自行承担。友情提醒：普通牛皮纸包装在快递运输过程中极易破损，建议采用韧性更佳的包装材料。</w:t>
      </w:r>
    </w:p>
    <w:p>
      <w:pPr>
        <w:spacing w:line="400" w:lineRule="exact"/>
        <w:ind w:firstLine="420" w:firstLineChars="200"/>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3.邮递地址：广西南宁市良庆区云英路8号五象总部大厦A座905办公室，林欢欢/</w:t>
      </w:r>
      <w:r>
        <w:rPr>
          <w:rFonts w:hint="eastAsia" w:ascii="方正仿宋_GBK" w:hAnsi="方正仿宋_GBK" w:eastAsia="方正仿宋_GBK" w:cs="方正仿宋_GBK"/>
          <w:bCs/>
          <w:szCs w:val="21"/>
          <w:lang w:val="en-US" w:eastAsia="zh-CN"/>
        </w:rPr>
        <w:t>钟善焯</w:t>
      </w:r>
      <w:r>
        <w:rPr>
          <w:rFonts w:hint="eastAsia" w:ascii="方正仿宋_GBK" w:hAnsi="方正仿宋_GBK" w:eastAsia="方正仿宋_GBK" w:cs="方正仿宋_GBK"/>
          <w:bCs/>
          <w:szCs w:val="21"/>
        </w:rPr>
        <w:t>（收），联系电话：0771-6115363/18977119519。</w:t>
      </w:r>
    </w:p>
    <w:p>
      <w:pPr>
        <w:spacing w:line="400" w:lineRule="exact"/>
        <w:ind w:firstLine="422" w:firstLineChars="200"/>
        <w:rPr>
          <w:rFonts w:ascii="方正仿宋_GBK" w:hAnsi="方正仿宋_GBK" w:eastAsia="方正仿宋_GBK" w:cs="方正仿宋_GBK"/>
          <w:szCs w:val="21"/>
        </w:rPr>
      </w:pPr>
      <w:r>
        <w:rPr>
          <w:rFonts w:hint="eastAsia" w:ascii="方正仿宋_GBK" w:hAnsi="方正仿宋_GBK" w:eastAsia="方正仿宋_GBK" w:cs="方正仿宋_GBK"/>
          <w:b/>
          <w:szCs w:val="21"/>
          <w:lang w:val="en-US" w:eastAsia="zh-CN"/>
        </w:rPr>
        <w:t>九</w:t>
      </w:r>
      <w:r>
        <w:rPr>
          <w:rFonts w:hint="eastAsia" w:ascii="方正仿宋_GBK" w:hAnsi="方正仿宋_GBK" w:eastAsia="方正仿宋_GBK" w:cs="方正仿宋_GBK"/>
          <w:b/>
          <w:szCs w:val="21"/>
        </w:rPr>
        <w:t>、磋商时间及地点：</w:t>
      </w:r>
      <w:r>
        <w:rPr>
          <w:rFonts w:hint="eastAsia" w:ascii="方正仿宋_GBK" w:hAnsi="方正仿宋_GBK" w:eastAsia="方正仿宋_GBK" w:cs="方正仿宋_GBK"/>
          <w:b/>
          <w:bCs/>
          <w:szCs w:val="21"/>
        </w:rPr>
        <w:t>具体时间另行通知。</w:t>
      </w:r>
      <w:r>
        <w:rPr>
          <w:rFonts w:hint="eastAsia" w:ascii="方正仿宋_GBK" w:hAnsi="方正仿宋_GBK" w:eastAsia="方正仿宋_GBK" w:cs="方正仿宋_GBK"/>
          <w:szCs w:val="21"/>
        </w:rPr>
        <w:t>地点：</w:t>
      </w:r>
      <w:r>
        <w:rPr>
          <w:rFonts w:hint="eastAsia" w:ascii="方正仿宋_GBK" w:hAnsi="方正仿宋_GBK" w:eastAsia="方正仿宋_GBK" w:cs="方正仿宋_GBK"/>
          <w:b/>
          <w:szCs w:val="21"/>
        </w:rPr>
        <w:t>广西南宁市良庆区云英路8号五象总部大厦A座广西北部湾银行总行会议室</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bCs/>
          <w:szCs w:val="21"/>
        </w:rPr>
        <w:t>参加竞标的法定代表人或委托代理人必须持有效身份证原件，依时到达指定地点等候远程或当面磋商。</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lang w:val="en-US" w:eastAsia="zh-CN"/>
        </w:rPr>
        <w:t>十</w:t>
      </w:r>
      <w:r>
        <w:rPr>
          <w:rFonts w:hint="eastAsia" w:ascii="方正仿宋_GBK" w:hAnsi="方正仿宋_GBK" w:eastAsia="方正仿宋_GBK" w:cs="方正仿宋_GBK"/>
          <w:b/>
          <w:szCs w:val="21"/>
        </w:rPr>
        <w:t>、联系电话及通讯地址：</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采购人：广西北部湾银行股份有限公司</w:t>
      </w:r>
    </w:p>
    <w:p>
      <w:pPr>
        <w:spacing w:line="400" w:lineRule="exact"/>
        <w:ind w:firstLine="420" w:firstLineChars="200"/>
        <w:rPr>
          <w:rFonts w:hint="default" w:ascii="方正仿宋_GBK" w:hAnsi="方正仿宋_GBK" w:eastAsia="方正仿宋_GBK" w:cs="方正仿宋_GBK"/>
          <w:color w:val="auto"/>
          <w:szCs w:val="21"/>
          <w:lang w:val="en-US" w:eastAsia="zh-CN"/>
        </w:rPr>
      </w:pPr>
      <w:r>
        <w:rPr>
          <w:rFonts w:hint="eastAsia" w:ascii="方正仿宋_GBK" w:hAnsi="方正仿宋_GBK" w:eastAsia="方正仿宋_GBK" w:cs="方正仿宋_GBK"/>
          <w:color w:val="auto"/>
          <w:szCs w:val="21"/>
        </w:rPr>
        <w:t>项目联系人：</w:t>
      </w:r>
      <w:r>
        <w:rPr>
          <w:rFonts w:hint="eastAsia" w:ascii="方正仿宋_GBK" w:hAnsi="方正仿宋_GBK" w:eastAsia="方正仿宋_GBK" w:cs="方正仿宋_GBK"/>
          <w:color w:val="auto"/>
          <w:szCs w:val="21"/>
          <w:lang w:val="en-US" w:eastAsia="zh-CN"/>
        </w:rPr>
        <w:t>方志国</w:t>
      </w:r>
    </w:p>
    <w:p>
      <w:pPr>
        <w:spacing w:line="400" w:lineRule="exact"/>
        <w:ind w:firstLine="420" w:firstLineChars="200"/>
        <w:rPr>
          <w:rFonts w:hint="default" w:ascii="方正仿宋_GBK" w:hAnsi="方正仿宋_GBK" w:eastAsia="方正仿宋_GBK" w:cs="方正仿宋_GBK"/>
          <w:color w:val="auto"/>
          <w:szCs w:val="21"/>
          <w:lang w:val="en-US" w:eastAsia="zh-CN"/>
        </w:rPr>
      </w:pPr>
      <w:r>
        <w:rPr>
          <w:rFonts w:hint="eastAsia" w:ascii="方正仿宋_GBK" w:hAnsi="方正仿宋_GBK" w:eastAsia="方正仿宋_GBK" w:cs="方正仿宋_GBK"/>
          <w:color w:val="auto"/>
          <w:szCs w:val="21"/>
        </w:rPr>
        <w:t>联系电话：0771-</w:t>
      </w:r>
      <w:r>
        <w:rPr>
          <w:rFonts w:hint="eastAsia" w:ascii="方正仿宋_GBK" w:hAnsi="方正仿宋_GBK" w:eastAsia="方正仿宋_GBK" w:cs="方正仿宋_GBK"/>
          <w:color w:val="auto"/>
          <w:szCs w:val="21"/>
          <w:lang w:val="en-US" w:eastAsia="zh-CN"/>
        </w:rPr>
        <w:t>2030290</w:t>
      </w:r>
    </w:p>
    <w:p>
      <w:pPr>
        <w:spacing w:line="400" w:lineRule="exact"/>
        <w:ind w:firstLine="420" w:firstLineChars="200"/>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地址：南宁市良庆区云英路8号五象总部大厦A座</w:t>
      </w:r>
    </w:p>
    <w:p>
      <w:pPr>
        <w:spacing w:line="400" w:lineRule="exact"/>
        <w:ind w:firstLine="420"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采购联系人：林欢欢、</w:t>
      </w:r>
      <w:r>
        <w:rPr>
          <w:rFonts w:hint="eastAsia" w:ascii="方正仿宋_GBK" w:hAnsi="方正仿宋_GBK" w:eastAsia="方正仿宋_GBK" w:cs="方正仿宋_GBK"/>
          <w:szCs w:val="21"/>
          <w:lang w:val="en-US" w:eastAsia="zh-CN"/>
        </w:rPr>
        <w:t xml:space="preserve">钟善焯  </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联系电话：0771-6115363，18977119519</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邮箱：bhcg@bankofbbg.com</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地址：南宁市良庆区云英路8号五象总部大厦A座</w:t>
      </w:r>
    </w:p>
    <w:p>
      <w:pPr>
        <w:spacing w:line="40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bCs/>
          <w:szCs w:val="21"/>
        </w:rPr>
        <w:t>咨询时间：工作日上午8:30-12:00，下午14:30-18:00</w:t>
      </w:r>
    </w:p>
    <w:p>
      <w:pPr>
        <w:spacing w:line="400" w:lineRule="exact"/>
        <w:ind w:firstLine="422" w:firstLineChars="200"/>
        <w:rPr>
          <w:rFonts w:ascii="方正仿宋_GBK" w:hAnsi="方正仿宋_GBK" w:eastAsia="方正仿宋_GBK" w:cs="方正仿宋_GBK"/>
          <w:szCs w:val="21"/>
        </w:rPr>
      </w:pPr>
      <w:r>
        <w:rPr>
          <w:rFonts w:hint="eastAsia" w:ascii="方正仿宋_GBK" w:hAnsi="方正仿宋_GBK" w:eastAsia="方正仿宋_GBK" w:cs="方正仿宋_GBK"/>
          <w:b/>
          <w:szCs w:val="21"/>
        </w:rPr>
        <w:t>十</w:t>
      </w:r>
      <w:r>
        <w:rPr>
          <w:rFonts w:hint="eastAsia" w:ascii="方正仿宋_GBK" w:hAnsi="方正仿宋_GBK" w:eastAsia="方正仿宋_GBK" w:cs="方正仿宋_GBK"/>
          <w:b/>
          <w:szCs w:val="21"/>
          <w:lang w:val="en-US" w:eastAsia="zh-CN"/>
        </w:rPr>
        <w:t>一</w:t>
      </w:r>
      <w:r>
        <w:rPr>
          <w:rFonts w:hint="eastAsia" w:ascii="方正仿宋_GBK" w:hAnsi="方正仿宋_GBK" w:eastAsia="方正仿宋_GBK" w:cs="方正仿宋_GBK"/>
          <w:b/>
          <w:szCs w:val="21"/>
        </w:rPr>
        <w:t>、公告网站：</w:t>
      </w:r>
      <w:r>
        <w:rPr>
          <w:rFonts w:hint="eastAsia" w:ascii="方正仿宋_GBK" w:hAnsi="方正仿宋_GBK" w:eastAsia="方正仿宋_GBK" w:cs="方正仿宋_GBK"/>
          <w:szCs w:val="21"/>
        </w:rPr>
        <w:t>广西阳光采购服务平台https://gxygcg.ejy365.com、广西北部湾银行官网www.bankofbbg.com。</w:t>
      </w:r>
    </w:p>
    <w:p>
      <w:pPr>
        <w:spacing w:line="400" w:lineRule="exact"/>
        <w:jc w:val="right"/>
        <w:rPr>
          <w:rFonts w:ascii="方正仿宋_GBK" w:hAnsi="方正仿宋_GBK" w:eastAsia="方正仿宋_GBK" w:cs="方正仿宋_GBK"/>
          <w:szCs w:val="21"/>
        </w:rPr>
      </w:pPr>
    </w:p>
    <w:p>
      <w:pPr>
        <w:spacing w:line="400" w:lineRule="exact"/>
        <w:jc w:val="right"/>
        <w:rPr>
          <w:rFonts w:ascii="方正仿宋_GBK" w:hAnsi="方正仿宋_GBK" w:eastAsia="方正仿宋_GBK" w:cs="方正仿宋_GBK"/>
          <w:szCs w:val="21"/>
        </w:rPr>
      </w:pPr>
    </w:p>
    <w:p>
      <w:pPr>
        <w:wordWrap w:val="0"/>
        <w:spacing w:line="400" w:lineRule="exact"/>
        <w:jc w:val="right"/>
        <w:rPr>
          <w:rFonts w:ascii="方正仿宋_GBK" w:hAnsi="方正仿宋_GBK" w:eastAsia="方正仿宋_GBK" w:cs="方正仿宋_GBK"/>
          <w:szCs w:val="21"/>
        </w:rPr>
      </w:pPr>
    </w:p>
    <w:p>
      <w:pPr>
        <w:spacing w:line="400" w:lineRule="exact"/>
        <w:jc w:val="right"/>
        <w:rPr>
          <w:rFonts w:ascii="方正仿宋_GBK" w:hAnsi="方正仿宋_GBK" w:eastAsia="方正仿宋_GBK" w:cs="方正仿宋_GBK"/>
          <w:szCs w:val="21"/>
        </w:rPr>
      </w:pPr>
    </w:p>
    <w:p>
      <w:pPr>
        <w:spacing w:line="400" w:lineRule="exact"/>
        <w:jc w:val="righ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广西北部湾银行股份有限公司</w:t>
      </w:r>
    </w:p>
    <w:p>
      <w:pPr>
        <w:spacing w:line="400" w:lineRule="exact"/>
        <w:jc w:val="right"/>
        <w:rPr>
          <w:rFonts w:ascii="方正仿宋_GBK" w:hAnsi="方正仿宋_GBK" w:eastAsia="方正仿宋_GBK" w:cs="方正仿宋_GBK"/>
          <w:sz w:val="22"/>
          <w:szCs w:val="22"/>
        </w:rPr>
      </w:pPr>
      <w:r>
        <w:rPr>
          <w:rFonts w:hint="eastAsia" w:ascii="方正仿宋_GBK" w:hAnsi="方正仿宋_GBK" w:eastAsia="方正仿宋_GBK" w:cs="方正仿宋_GBK"/>
          <w:szCs w:val="21"/>
        </w:rPr>
        <w:t>2024年</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rPr>
        <w:t>月</w:t>
      </w:r>
      <w:r>
        <w:rPr>
          <w:rFonts w:hint="eastAsia" w:ascii="方正仿宋_GBK" w:hAnsi="方正仿宋_GBK" w:eastAsia="方正仿宋_GBK" w:cs="方正仿宋_GBK"/>
          <w:szCs w:val="21"/>
          <w:lang w:val="en-US" w:eastAsia="zh-CN"/>
        </w:rPr>
        <w:t>19</w:t>
      </w:r>
      <w:r>
        <w:rPr>
          <w:rFonts w:hint="eastAsia" w:ascii="方正仿宋_GBK" w:hAnsi="方正仿宋_GBK" w:eastAsia="方正仿宋_GBK" w:cs="方正仿宋_GBK"/>
          <w:szCs w:val="21"/>
        </w:rPr>
        <w:t>日</w:t>
      </w:r>
      <w:r>
        <w:rPr>
          <w:rFonts w:hint="eastAsia" w:ascii="方正仿宋_GBK" w:hAnsi="方正仿宋_GBK" w:eastAsia="方正仿宋_GBK" w:cs="方正仿宋_GBK"/>
          <w:sz w:val="22"/>
          <w:szCs w:val="22"/>
        </w:rPr>
        <w:t xml:space="preserve">  </w:t>
      </w:r>
    </w:p>
    <w:p>
      <w:pPr>
        <w:pStyle w:val="2"/>
        <w:rPr>
          <w:rFonts w:ascii="方正仿宋_GBK" w:hAnsi="方正仿宋_GBK" w:eastAsia="方正仿宋_GBK" w:cs="方正仿宋_GBK"/>
        </w:rPr>
      </w:pPr>
    </w:p>
    <w:p>
      <w:pPr>
        <w:snapToGrid w:val="0"/>
        <w:ind w:right="482"/>
        <w:jc w:val="center"/>
        <w:outlineLvl w:val="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第一章 磋商供应商须知前附表</w:t>
      </w:r>
      <w:bookmarkEnd w:id="1"/>
    </w:p>
    <w:tbl>
      <w:tblPr>
        <w:tblStyle w:val="43"/>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858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8586" w:type="dxa"/>
            <w:vAlign w:val="center"/>
          </w:tcPr>
          <w:p>
            <w:pPr>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项目名称：广西北部湾银行</w:t>
            </w:r>
            <w:r>
              <w:rPr>
                <w:rFonts w:hint="eastAsia" w:ascii="方正仿宋_GBK" w:hAnsi="方正仿宋_GBK" w:eastAsia="方正仿宋_GBK" w:cs="方正仿宋_GBK"/>
                <w:b w:val="0"/>
                <w:bCs w:val="0"/>
                <w:szCs w:val="21"/>
                <w:lang w:val="en-US" w:eastAsia="zh-CN"/>
              </w:rPr>
              <w:t>数据中心柴发</w:t>
            </w:r>
            <w:r>
              <w:rPr>
                <w:rFonts w:hint="eastAsia" w:ascii="方正仿宋_GBK" w:hAnsi="方正仿宋_GBK" w:eastAsia="方正仿宋_GBK" w:cs="方正仿宋_GBK"/>
                <w:szCs w:val="21"/>
              </w:rPr>
              <w:t>系统维保项目</w:t>
            </w:r>
          </w:p>
          <w:p>
            <w:pPr>
              <w:spacing w:line="360" w:lineRule="exact"/>
              <w:rPr>
                <w:rFonts w:hint="eastAsia" w:ascii="方正仿宋_GBK" w:hAnsi="方正仿宋_GBK" w:eastAsia="方正仿宋_GBK" w:cs="方正仿宋_GBK"/>
                <w:szCs w:val="21"/>
                <w:u w:val="single"/>
                <w:lang w:eastAsia="zh-CN"/>
              </w:rPr>
            </w:pPr>
            <w:r>
              <w:rPr>
                <w:rFonts w:hint="eastAsia" w:ascii="方正仿宋_GBK" w:hAnsi="方正仿宋_GBK" w:eastAsia="方正仿宋_GBK" w:cs="方正仿宋_GBK"/>
                <w:szCs w:val="21"/>
              </w:rPr>
              <w:t>项目编号：</w:t>
            </w:r>
            <w:r>
              <w:rPr>
                <w:rFonts w:hint="eastAsia" w:ascii="方正仿宋_GBK" w:hAnsi="方正仿宋_GBK" w:eastAsia="方正仿宋_GBK" w:cs="方正仿宋_GBK"/>
                <w:szCs w:val="21"/>
                <w:lang w:eastAsia="zh-CN"/>
              </w:rPr>
              <w:t>20240803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8586" w:type="dxa"/>
            <w:vAlign w:val="center"/>
          </w:tcPr>
          <w:p>
            <w:pPr>
              <w:spacing w:line="360" w:lineRule="exact"/>
              <w:rPr>
                <w:rFonts w:ascii="方正仿宋_GBK" w:hAnsi="方正仿宋_GBK" w:eastAsia="方正仿宋_GBK" w:cs="方正仿宋_GBK"/>
              </w:rPr>
            </w:pPr>
            <w:r>
              <w:rPr>
                <w:rFonts w:hint="eastAsia" w:ascii="方正仿宋_GBK" w:hAnsi="方正仿宋_GBK" w:eastAsia="方正仿宋_GBK" w:cs="方正仿宋_GBK"/>
                <w:b/>
                <w:bCs/>
              </w:rPr>
              <w:t>磋商供应商资格：详见本项目“竞争性磋商公告”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8586" w:type="dxa"/>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b/>
                <w:szCs w:val="21"/>
              </w:rPr>
              <w:t>采购预算：不公布预算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8586" w:type="dxa"/>
            <w:vAlign w:val="center"/>
          </w:tcPr>
          <w:p>
            <w:pPr>
              <w:spacing w:line="360" w:lineRule="exact"/>
              <w:rPr>
                <w:rFonts w:ascii="方正仿宋_GBK" w:hAnsi="方正仿宋_GBK" w:eastAsia="方正仿宋_GBK" w:cs="方正仿宋_GBK"/>
                <w:b/>
                <w:sz w:val="22"/>
                <w:szCs w:val="22"/>
              </w:rPr>
            </w:pPr>
            <w:r>
              <w:rPr>
                <w:rFonts w:hint="eastAsia" w:ascii="方正仿宋_GBK" w:hAnsi="方正仿宋_GBK" w:eastAsia="方正仿宋_GBK" w:cs="方正仿宋_GBK"/>
                <w:szCs w:val="21"/>
              </w:rPr>
              <w:t>磋商报价：磋商供应商须就《采购需求》中的所有服务内容或某个分标内容作完整唯一报价，漏项报价的或有选择的或有条件的报价，其竞标将视为无效。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8586" w:type="dxa"/>
            <w:vAlign w:val="center"/>
          </w:tcPr>
          <w:p>
            <w:pPr>
              <w:pStyle w:val="22"/>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磋商响应文件：正本一份，副本二份及与响应文件正本内容相一致并经法定代表人或委托代</w:t>
            </w:r>
          </w:p>
          <w:p>
            <w:pPr>
              <w:pStyle w:val="22"/>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理人签字并盖章好的PDF版扫描件一份（U盘形式，电子版为投标文件的一部分，一经接收，不予退还）。U盘须信封单独封装并在信封注明项目名称及项目编号和供应商名称，随响应</w:t>
            </w:r>
          </w:p>
          <w:p>
            <w:pPr>
              <w:pStyle w:val="22"/>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b/>
                <w:szCs w:val="21"/>
              </w:rPr>
              <w:t>文件一起密封递交。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8586" w:type="dxa"/>
            <w:vAlign w:val="center"/>
          </w:tcPr>
          <w:p>
            <w:pPr>
              <w:pStyle w:val="22"/>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磋商响应文件递交截止时间：</w:t>
            </w:r>
            <w:r>
              <w:rPr>
                <w:rFonts w:hint="eastAsia" w:ascii="方正仿宋_GBK" w:hAnsi="方正仿宋_GBK" w:eastAsia="方正仿宋_GBK" w:cs="方正仿宋_GBK"/>
                <w:szCs w:val="21"/>
                <w:u w:val="single"/>
              </w:rPr>
              <w:t>2024年</w:t>
            </w:r>
            <w:r>
              <w:rPr>
                <w:rFonts w:hint="eastAsia" w:ascii="方正仿宋_GBK" w:hAnsi="方正仿宋_GBK" w:eastAsia="方正仿宋_GBK" w:cs="方正仿宋_GBK"/>
                <w:szCs w:val="21"/>
                <w:u w:val="single"/>
                <w:lang w:val="en-US" w:eastAsia="zh-CN"/>
              </w:rPr>
              <w:t>10</w:t>
            </w:r>
            <w:r>
              <w:rPr>
                <w:rFonts w:hint="eastAsia" w:ascii="方正仿宋_GBK" w:hAnsi="方正仿宋_GBK" w:eastAsia="方正仿宋_GBK" w:cs="方正仿宋_GBK"/>
                <w:szCs w:val="21"/>
                <w:u w:val="single"/>
              </w:rPr>
              <w:t>月</w:t>
            </w:r>
            <w:r>
              <w:rPr>
                <w:rFonts w:hint="eastAsia" w:ascii="方正仿宋_GBK" w:hAnsi="方正仿宋_GBK" w:eastAsia="方正仿宋_GBK" w:cs="方正仿宋_GBK"/>
                <w:szCs w:val="21"/>
                <w:u w:val="single"/>
                <w:lang w:val="en-US" w:eastAsia="zh-CN"/>
              </w:rPr>
              <w:t>9</w:t>
            </w:r>
            <w:r>
              <w:rPr>
                <w:rFonts w:hint="eastAsia" w:ascii="方正仿宋_GBK" w:hAnsi="方正仿宋_GBK" w:eastAsia="方正仿宋_GBK" w:cs="方正仿宋_GBK"/>
                <w:szCs w:val="21"/>
                <w:u w:val="single"/>
              </w:rPr>
              <w:t>日18时整前</w:t>
            </w:r>
            <w:r>
              <w:rPr>
                <w:rFonts w:hint="eastAsia" w:ascii="方正仿宋_GBK" w:hAnsi="方正仿宋_GBK" w:eastAsia="方正仿宋_GBK" w:cs="方正仿宋_GBK"/>
                <w:szCs w:val="21"/>
              </w:rPr>
              <w:t>（此为竞标截止日期）</w:t>
            </w:r>
          </w:p>
          <w:p>
            <w:pPr>
              <w:snapToGrid w:val="0"/>
              <w:spacing w:line="340" w:lineRule="exact"/>
              <w:rPr>
                <w:rFonts w:ascii="方正仿宋_GBK" w:hAnsi="方正仿宋_GBK" w:eastAsia="方正仿宋_GBK" w:cs="方正仿宋_GBK"/>
              </w:rPr>
            </w:pPr>
            <w:r>
              <w:rPr>
                <w:rFonts w:hint="eastAsia" w:ascii="方正仿宋_GBK" w:hAnsi="方正仿宋_GBK" w:eastAsia="方正仿宋_GBK" w:cs="方正仿宋_GBK"/>
                <w:szCs w:val="21"/>
              </w:rPr>
              <w:t>递交地点：</w:t>
            </w:r>
            <w:r>
              <w:rPr>
                <w:rFonts w:hint="eastAsia" w:ascii="方正仿宋_GBK" w:hAnsi="方正仿宋_GBK" w:eastAsia="方正仿宋_GBK" w:cs="方正仿宋_GBK"/>
                <w:b/>
                <w:szCs w:val="21"/>
              </w:rPr>
              <w:t>广西南宁市良庆区云英路8号五象总部大厦A座905室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8586" w:type="dxa"/>
            <w:vAlign w:val="center"/>
          </w:tcPr>
          <w:p>
            <w:pPr>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磋商时间：</w:t>
            </w:r>
            <w:r>
              <w:rPr>
                <w:rFonts w:hint="eastAsia" w:ascii="方正仿宋_GBK" w:hAnsi="方正仿宋_GBK" w:eastAsia="方正仿宋_GBK" w:cs="方正仿宋_GBK"/>
                <w:szCs w:val="21"/>
                <w:u w:val="single"/>
              </w:rPr>
              <w:t>具体时间另行通知。</w:t>
            </w:r>
          </w:p>
          <w:p>
            <w:pPr>
              <w:spacing w:line="360" w:lineRule="exact"/>
              <w:rPr>
                <w:rFonts w:ascii="方正仿宋_GBK" w:hAnsi="方正仿宋_GBK" w:eastAsia="方正仿宋_GBK" w:cs="方正仿宋_GBK"/>
                <w:b/>
                <w:szCs w:val="21"/>
              </w:rPr>
            </w:pPr>
            <w:r>
              <w:rPr>
                <w:rFonts w:hint="eastAsia" w:ascii="方正仿宋_GBK" w:hAnsi="方正仿宋_GBK" w:eastAsia="方正仿宋_GBK" w:cs="方正仿宋_GBK"/>
                <w:szCs w:val="21"/>
              </w:rPr>
              <w:t>磋商地点：</w:t>
            </w:r>
            <w:r>
              <w:rPr>
                <w:rFonts w:hint="eastAsia" w:ascii="方正仿宋_GBK" w:hAnsi="方正仿宋_GBK" w:eastAsia="方正仿宋_GBK" w:cs="方正仿宋_GBK"/>
                <w:b/>
                <w:szCs w:val="21"/>
              </w:rPr>
              <w:t>广西南宁市良庆区云英路8号五象总部大厦A座广西北部湾银行总行会议室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1.磋商小组会要求磋商供应商在规定的时间内参加磋商、提交最终磋商报价及应答。供应商提交的应答文件、最终报价等材料必须由法定代表人或委托代理人签章或加盖供应商的公章确认。</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2.如供应商未按上述要求提供联系方式，致使采购人或磋商小组在项目评标期间无法与供应商取得联系的，或因自身原因未能保持电话畅通或未按磋商小组要求提交响应文件、最终响应报价等材料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8586" w:type="dxa"/>
            <w:vAlign w:val="center"/>
          </w:tcPr>
          <w:p>
            <w:pPr>
              <w:spacing w:line="360" w:lineRule="exact"/>
              <w:rPr>
                <w:rFonts w:ascii="方正仿宋_GBK" w:hAnsi="方正仿宋_GBK" w:eastAsia="方正仿宋_GBK" w:cs="方正仿宋_GBK"/>
              </w:rPr>
            </w:pPr>
            <w:r>
              <w:rPr>
                <w:rFonts w:hint="eastAsia" w:ascii="方正仿宋_GBK" w:hAnsi="方正仿宋_GBK" w:eastAsia="方正仿宋_GBK" w:cs="方正仿宋_GBK"/>
                <w:szCs w:val="21"/>
              </w:rPr>
              <w:t>评标办法及评分标准：本项目评标办法为综合评分法，具体评标内容及评分标准等详见《第二章：评标方法及评分标准》。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8586" w:type="dxa"/>
            <w:vAlign w:val="center"/>
          </w:tcPr>
          <w:p>
            <w:pPr>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采购结果公示：采购结果公示发布于广西阳光采购服务平台https://gxygcg.ejy365.com、广西北部湾银行官网www.bankofbbg.com。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8586" w:type="dxa"/>
            <w:vAlign w:val="center"/>
          </w:tcPr>
          <w:p>
            <w:pPr>
              <w:autoSpaceDE w:val="0"/>
              <w:autoSpaceDN w:val="0"/>
              <w:snapToGrid w:val="0"/>
              <w:spacing w:line="360" w:lineRule="exact"/>
              <w:textAlignment w:val="bottom"/>
              <w:rPr>
                <w:rFonts w:ascii="方正仿宋_GBK" w:hAnsi="方正仿宋_GBK" w:eastAsia="方正仿宋_GBK" w:cs="方正仿宋_GBK"/>
                <w:szCs w:val="21"/>
              </w:rPr>
            </w:pPr>
            <w:r>
              <w:rPr>
                <w:rFonts w:hint="eastAsia" w:ascii="方正仿宋_GBK" w:hAnsi="方正仿宋_GBK" w:eastAsia="方正仿宋_GBK" w:cs="方正仿宋_GBK"/>
                <w:szCs w:val="21"/>
              </w:rPr>
              <w:t>磋商响应文件有效期：磋商截止之日起60日历天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8586" w:type="dxa"/>
            <w:vAlign w:val="center"/>
          </w:tcPr>
          <w:p>
            <w:pPr>
              <w:snapToGrid w:val="0"/>
              <w:spacing w:line="36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磋商报价：</w:t>
            </w:r>
          </w:p>
          <w:p>
            <w:pPr>
              <w:snapToGrid w:val="0"/>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1.本项目投标应以人民币报价，磋商供应商须就《采购需求》中的全部货物(服务)或某个分标的货物（服务）内容作完整唯一报价；</w:t>
            </w:r>
          </w:p>
          <w:p>
            <w:pPr>
              <w:snapToGrid w:val="0"/>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2.不论磋商结果如何，磋商供应商均应自行承担所有与磋商有关的全部费用。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8586" w:type="dxa"/>
            <w:vAlign w:val="center"/>
          </w:tcPr>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本竞争性磋商响应文件中描述供应商的“公章”是指根据我国对公章的管理规定，用供应商法定主体行为名称制作的印章，除本竞争性磋商响应文件有特殊规定外，供应商的财务章、部门章、分公司章、工会章、合同章、投标专用章、业务专用章等其它形式印章均不能代替公章。</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2.本竞争性磋商响应文件中描述供应商的“签字”是指供应商的法定代表人或被授权人亲自在竞争性磋商响应文件规定签署处亲笔写上个人的名字的行为，私章、签字章、印鉴、影印等其它形式均不能代替亲笔签字。</w:t>
            </w:r>
          </w:p>
        </w:tc>
      </w:tr>
    </w:tbl>
    <w:p>
      <w:pPr>
        <w:spacing w:line="4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r>
        <w:rPr>
          <w:rFonts w:hint="eastAsia" w:ascii="方正仿宋_GBK" w:hAnsi="方正仿宋_GBK" w:eastAsia="方正仿宋_GBK" w:cs="方正仿宋_GBK"/>
          <w:b/>
          <w:sz w:val="32"/>
          <w:szCs w:val="32"/>
        </w:rPr>
        <w:t>磋商须知</w:t>
      </w:r>
    </w:p>
    <w:p>
      <w:pPr>
        <w:spacing w:line="36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一、总　则</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 适用范围</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1.1 本文件仅适用于本文件中所叙述的服务、货物、工程类采购项目。</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 定义</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2.1“采购人”是指：广西北部湾银行股份有限公司。</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2.2“磋商供应商”是指购买了磋商采购文件，响应本文件要求，参加磋商的法人或者其他组织，即“磋商供应商”。如果该供应商在本次磋商中成交，即成为“成交供应商”。</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2.3“货物”是指各种形态和种类的物品，包括原材料、燃料、设备、产品等。</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2.4“服务”是指除货物和工程以外的其他采购对象。</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2.5“竞争性磋商响应文件”简称“磋商响应文件”是指：供应商根据本文件要求，编制包含报价、技术和服务等所有内容的文件，即“磋商响应文件”。</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3. 磋商供应商的基本条件：“详见竞争性磋商公告”</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 磋商费用及其他说明</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4.1 磋商供应商应自行承担所有与编写和提交竞争性磋商响应文件有关的费用，不论磋商结果如何，采购人在任何情况下无义务和责任承担此类费用。</w:t>
      </w:r>
    </w:p>
    <w:p>
      <w:pPr>
        <w:spacing w:line="400" w:lineRule="exact"/>
        <w:ind w:firstLine="420" w:firstLineChars="200"/>
        <w:rPr>
          <w:rFonts w:ascii="方正仿宋_GBK" w:hAnsi="方正仿宋_GBK" w:eastAsia="方正仿宋_GBK" w:cs="方正仿宋_GBK"/>
          <w:bCs/>
        </w:rPr>
      </w:pPr>
      <w:r>
        <w:rPr>
          <w:rFonts w:hint="eastAsia" w:ascii="方正仿宋_GBK" w:hAnsi="方正仿宋_GBK" w:eastAsia="方正仿宋_GBK" w:cs="方正仿宋_GBK"/>
        </w:rPr>
        <w:t xml:space="preserve">4.2 </w:t>
      </w:r>
      <w:r>
        <w:rPr>
          <w:rFonts w:hint="eastAsia" w:ascii="方正仿宋_GBK" w:hAnsi="方正仿宋_GBK" w:eastAsia="方正仿宋_GBK" w:cs="方正仿宋_GBK"/>
          <w:bCs/>
        </w:rPr>
        <w:t>特别说明</w:t>
      </w:r>
    </w:p>
    <w:p>
      <w:pPr>
        <w:spacing w:line="400" w:lineRule="exact"/>
        <w:ind w:firstLine="420" w:firstLineChars="200"/>
        <w:rPr>
          <w:rFonts w:ascii="方正仿宋_GBK" w:hAnsi="方正仿宋_GBK" w:eastAsia="方正仿宋_GBK" w:cs="方正仿宋_GBK"/>
          <w:szCs w:val="21"/>
        </w:rPr>
      </w:pPr>
      <w:bookmarkStart w:id="2" w:name="_8.1提供相同品牌产品且通过资格审查、符合性审查的不同投标人参加同一合"/>
      <w:bookmarkEnd w:id="2"/>
      <w:r>
        <w:rPr>
          <w:rFonts w:hint="eastAsia" w:ascii="方正仿宋_GBK" w:hAnsi="方正仿宋_GBK" w:eastAsia="方正仿宋_GBK" w:cs="方正仿宋_GBK"/>
          <w:szCs w:val="21"/>
        </w:rPr>
        <w:t>4.2.1</w:t>
      </w:r>
      <w:bookmarkStart w:id="3" w:name="_Hlk65832145"/>
      <w:r>
        <w:rPr>
          <w:rFonts w:hint="eastAsia" w:ascii="方正仿宋_GBK" w:hAnsi="方正仿宋_GBK" w:eastAsia="方正仿宋_GBK" w:cs="方正仿宋_GBK"/>
          <w:szCs w:val="21"/>
        </w:rPr>
        <w:t>如果本磋商文件要求提供供应商或制造商的资格、信誉、荣誉、业绩与企业认证等材料的，资格、信誉、荣誉、业绩与企业认证等必须为供应商或者制造商所拥有或自身获得 。</w:t>
      </w:r>
    </w:p>
    <w:bookmarkEnd w:id="3"/>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4.2.2供应商应仔细阅读磋商文件的所有内容，按照磋商文件的要求提交响应文件，并对所提供的全部资料的真实性承担法律责任。</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4.2.3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二、竞争性磋商文件的构成及响应文件的编制</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 竞争性磋商文件的构成</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5.1 磋商文件的构成</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第一章 磋商供应商须知前附表；</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第二章 评标办法；</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第三章 采购需求； </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第四章 磋商响应文件基本格式；</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第五章 合同格式；</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 竞争性磋商响应文件编制基本要求</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5.2.1磋商供应商对竞争性磋商响应文件的编制应按要求装订和封装。</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5.2.2磋商供应商提交的竞争性磋商响应文件以及磋商供应商与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5.2.3磋商供应商应认真阅读、并充分理解本文件的全部内容（包括所有的补充、修改内容），承诺并履行本文件中各项条款规定及要求。</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5.2.4竞争性磋商响应文件必须按本文件的全部内容，包括所有的补充通知及附件进行编制。</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5.2.5如因磋商供应商只填写和提供了本文件要求的部分内容和附件，而给评审造成困难，其可能导致的结果和责任由磋商供应商自行承担。</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5.2.6竞争性磋商响应文件由价格、商务、技术文件组成</w:t>
      </w:r>
      <w:r>
        <w:rPr>
          <w:rFonts w:hint="eastAsia" w:ascii="方正仿宋_GBK" w:hAnsi="方正仿宋_GBK" w:eastAsia="方正仿宋_GBK" w:cs="方正仿宋_GBK"/>
          <w:b/>
          <w:bCs/>
          <w:szCs w:val="21"/>
        </w:rPr>
        <w:t>(所有文件装订成一册即可)</w:t>
      </w:r>
      <w:r>
        <w:rPr>
          <w:rFonts w:hint="eastAsia" w:ascii="方正仿宋_GBK" w:hAnsi="方正仿宋_GBK" w:eastAsia="方正仿宋_GBK" w:cs="方正仿宋_GBK"/>
          <w:szCs w:val="21"/>
        </w:rPr>
        <w:t>。</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5.2.6.1价格、商务、技术文件</w:t>
      </w:r>
      <w:r>
        <w:rPr>
          <w:rFonts w:hint="eastAsia" w:ascii="方正仿宋_GBK" w:hAnsi="方正仿宋_GBK" w:eastAsia="方正仿宋_GBK" w:cs="方正仿宋_GBK"/>
          <w:b/>
          <w:szCs w:val="21"/>
        </w:rPr>
        <w:t>（详见第四章响应文件基本格式）</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1）磋商书；</w:t>
      </w:r>
      <w:r>
        <w:rPr>
          <w:rFonts w:hint="eastAsia" w:ascii="方正仿宋_GBK" w:hAnsi="方正仿宋_GBK" w:eastAsia="方正仿宋_GBK" w:cs="方正仿宋_GBK"/>
          <w:b/>
          <w:szCs w:val="21"/>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2）磋商报价表；</w:t>
      </w:r>
      <w:r>
        <w:rPr>
          <w:rFonts w:hint="eastAsia" w:ascii="方正仿宋_GBK" w:hAnsi="方正仿宋_GBK" w:eastAsia="方正仿宋_GBK" w:cs="方正仿宋_GBK"/>
          <w:b/>
          <w:szCs w:val="21"/>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3）磋商供应商有效的加载统一社会信用代码的营业执照或事业单位法人证书等主体资格正（副）本</w:t>
      </w:r>
      <w:r>
        <w:rPr>
          <w:rFonts w:hint="eastAsia" w:ascii="方正仿宋_GBK" w:hAnsi="方正仿宋_GBK" w:eastAsia="方正仿宋_GBK" w:cs="方正仿宋_GBK"/>
          <w:sz w:val="22"/>
          <w:szCs w:val="21"/>
        </w:rPr>
        <w:t>复印件</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szCs w:val="21"/>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w:t>
      </w:r>
      <w:bookmarkStart w:id="4" w:name="OLE_LINK1"/>
      <w:r>
        <w:rPr>
          <w:rFonts w:hint="eastAsia" w:ascii="方正仿宋_GBK" w:hAnsi="方正仿宋_GBK" w:eastAsia="方正仿宋_GBK" w:cs="方正仿宋_GBK"/>
        </w:rPr>
        <w:t>法定代表人身份证明及法定代表人有效身份证正反面复印件</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szCs w:val="21"/>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5）法定代表人授权书原件</w:t>
      </w:r>
      <w:bookmarkEnd w:id="4"/>
      <w:r>
        <w:rPr>
          <w:rFonts w:hint="eastAsia" w:ascii="方正仿宋_GBK" w:hAnsi="方正仿宋_GBK" w:eastAsia="方正仿宋_GBK" w:cs="方正仿宋_GBK"/>
          <w:szCs w:val="21"/>
        </w:rPr>
        <w:t>和委托代理人身份证复印件；</w:t>
      </w:r>
      <w:r>
        <w:rPr>
          <w:rFonts w:hint="eastAsia" w:ascii="方正仿宋_GBK" w:hAnsi="方正仿宋_GBK" w:eastAsia="方正仿宋_GBK" w:cs="方正仿宋_GBK"/>
          <w:b/>
          <w:szCs w:val="21"/>
        </w:rPr>
        <w:t>（委托代理时必须提供，否则竞标无效）</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6）信用声明函及磋商供应商在“</w:t>
      </w:r>
      <w:r>
        <w:rPr>
          <w:rFonts w:hint="eastAsia" w:ascii="方正仿宋_GBK" w:hAnsi="方正仿宋_GBK" w:eastAsia="方正仿宋_GBK" w:cs="方正仿宋_GBK"/>
        </w:rPr>
        <w:t>信用中国”网站（www.creditchina.gov.cn）信用服务截图证明；</w:t>
      </w:r>
      <w:r>
        <w:rPr>
          <w:rFonts w:hint="eastAsia" w:ascii="方正仿宋_GBK" w:hAnsi="方正仿宋_GBK" w:eastAsia="方正仿宋_GBK" w:cs="方正仿宋_GBK"/>
          <w:b/>
        </w:rPr>
        <w:t>（包括：失信被执行人、重大税收违法失信主体、政府采购严重违法失信行为记录名单、</w:t>
      </w:r>
      <w:r>
        <w:rPr>
          <w:rFonts w:hint="eastAsia" w:ascii="方正仿宋_GBK" w:hAnsi="方正仿宋_GBK" w:eastAsia="方正仿宋_GBK" w:cs="方正仿宋_GBK"/>
          <w:b/>
          <w:sz w:val="22"/>
          <w:szCs w:val="21"/>
        </w:rPr>
        <w:t>经营异常名录信息</w:t>
      </w:r>
      <w:r>
        <w:rPr>
          <w:rFonts w:hint="eastAsia" w:ascii="方正仿宋_GBK" w:hAnsi="方正仿宋_GBK" w:eastAsia="方正仿宋_GBK" w:cs="方正仿宋_GBK"/>
          <w:b/>
        </w:rPr>
        <w:t>共四个网页截图，网页截图须显示磋商供应商名称以及查询结果）；（必须提供，否则竞标无效）</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7）竞标截止之日前半年内磋商供应商任意连续三个月的依法缴纳税费或依法免缴税费的证明复印件（格式自拟）；无纳税记录的，应提供由供应商所在地主管税务部门出具的依法纳税或依法免税证明（复印件，格式自拟）；（新成立的公司根据实际情况提供）</w:t>
      </w:r>
      <w:r>
        <w:rPr>
          <w:rFonts w:hint="eastAsia" w:ascii="方正仿宋_GBK" w:hAnsi="方正仿宋_GBK" w:eastAsia="方正仿宋_GBK" w:cs="方正仿宋_GBK"/>
          <w:b/>
          <w:szCs w:val="21"/>
        </w:rPr>
        <w:t>（必须提供</w:t>
      </w:r>
      <w:r>
        <w:rPr>
          <w:rFonts w:hint="eastAsia" w:ascii="方正仿宋_GBK" w:hAnsi="方正仿宋_GBK" w:eastAsia="方正仿宋_GBK" w:cs="方正仿宋_GBK"/>
          <w:b/>
        </w:rPr>
        <w:t>，否则竞标无效</w:t>
      </w:r>
      <w:r>
        <w:rPr>
          <w:rFonts w:hint="eastAsia" w:ascii="方正仿宋_GBK" w:hAnsi="方正仿宋_GBK" w:eastAsia="方正仿宋_GBK" w:cs="方正仿宋_GBK"/>
          <w:b/>
          <w:szCs w:val="21"/>
        </w:rPr>
        <w:t>）</w:t>
      </w:r>
    </w:p>
    <w:p>
      <w:pPr>
        <w:spacing w:line="360" w:lineRule="exact"/>
        <w:ind w:firstLine="420" w:firstLineChars="200"/>
        <w:rPr>
          <w:rFonts w:ascii="方正仿宋_GBK" w:hAnsi="方正仿宋_GBK" w:eastAsia="方正仿宋_GBK" w:cs="方正仿宋_GBK"/>
          <w:b/>
        </w:rPr>
      </w:pPr>
      <w:r>
        <w:rPr>
          <w:rFonts w:hint="eastAsia" w:ascii="方正仿宋_GBK" w:hAnsi="方正仿宋_GBK" w:eastAsia="方正仿宋_GBK" w:cs="方正仿宋_GBK"/>
        </w:rPr>
        <w:t>8）竞标截止之日前半年内</w:t>
      </w:r>
      <w:r>
        <w:rPr>
          <w:rFonts w:hint="eastAsia" w:ascii="方正仿宋_GBK" w:hAnsi="方正仿宋_GBK" w:eastAsia="方正仿宋_GBK" w:cs="方正仿宋_GBK"/>
          <w:szCs w:val="21"/>
        </w:rPr>
        <w:t>磋商供应商</w:t>
      </w:r>
      <w:r>
        <w:rPr>
          <w:rFonts w:hint="eastAsia" w:ascii="方正仿宋_GBK" w:hAnsi="方正仿宋_GBK" w:eastAsia="方正仿宋_GBK" w:cs="方正仿宋_GBK"/>
        </w:rPr>
        <w:t>任意连续三个月的依法缴纳社保费的缴费凭证复印件（格式自拟）；无缴费记录的，应提供由供应商所在地社保部门出具的依法缴纳或依法免缴社保费证明（格式自拟，复印件）；（新成立的公司根据实际情况提供）；</w:t>
      </w:r>
      <w:r>
        <w:rPr>
          <w:rFonts w:hint="eastAsia" w:ascii="方正仿宋_GBK" w:hAnsi="方正仿宋_GBK" w:eastAsia="方正仿宋_GBK" w:cs="方正仿宋_GBK"/>
          <w:b/>
        </w:rPr>
        <w:t>（必须提供，否则竞标无效）</w:t>
      </w:r>
    </w:p>
    <w:p>
      <w:pPr>
        <w:spacing w:line="360" w:lineRule="exact"/>
        <w:ind w:firstLine="420" w:firstLineChars="200"/>
        <w:rPr>
          <w:rFonts w:ascii="方正仿宋_GBK" w:hAnsi="方正仿宋_GBK" w:eastAsia="方正仿宋_GBK" w:cs="方正仿宋_GBK"/>
          <w:b/>
        </w:rPr>
      </w:pPr>
      <w:r>
        <w:rPr>
          <w:rFonts w:hint="eastAsia" w:ascii="方正仿宋_GBK" w:hAnsi="方正仿宋_GBK" w:eastAsia="方正仿宋_GBK" w:cs="方正仿宋_GBK"/>
          <w:szCs w:val="21"/>
        </w:rPr>
        <w:t>9）磋商供应商近四年内连续三年的财务状况报告复印件[①可以是经会计师事务所审计的财务报告，或是本公司出具的财务报表(</w:t>
      </w:r>
      <w:r>
        <w:rPr>
          <w:rFonts w:hint="eastAsia" w:ascii="方正仿宋_GBK" w:hAnsi="方正仿宋_GBK" w:eastAsia="方正仿宋_GBK" w:cs="方正仿宋_GBK"/>
          <w:b/>
          <w:szCs w:val="21"/>
        </w:rPr>
        <w:t>至少包含资产负债表、利润表、现金流量表</w:t>
      </w:r>
      <w:r>
        <w:rPr>
          <w:rFonts w:hint="eastAsia" w:ascii="方正仿宋_GBK" w:hAnsi="方正仿宋_GBK" w:eastAsia="方正仿宋_GBK" w:cs="方正仿宋_GBK"/>
          <w:szCs w:val="21"/>
        </w:rPr>
        <w:t>)；②成立不足三年的公司可根据其成立的时间据实提交财务报表；</w:t>
      </w:r>
      <w:r>
        <w:rPr>
          <w:rFonts w:hint="eastAsia" w:ascii="方正仿宋_GBK" w:hAnsi="方正仿宋_GBK" w:eastAsia="方正仿宋_GBK" w:cs="方正仿宋_GBK"/>
          <w:b/>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10）磋商采购文件列明的其他证明文件；（注明必须提供的必须提供，否则磋商无效）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11）对本项目总体要求的理解。（包括但不限于：对本项目的理解、实施服务方案、拟投入团队成员，</w:t>
      </w:r>
      <w:r>
        <w:rPr>
          <w:rFonts w:hint="eastAsia" w:ascii="方正仿宋_GBK" w:hAnsi="方正仿宋_GBK" w:eastAsia="方正仿宋_GBK" w:cs="方正仿宋_GBK"/>
          <w:kern w:val="0"/>
          <w:szCs w:val="21"/>
        </w:rPr>
        <w:t>维保</w:t>
      </w:r>
      <w:r>
        <w:rPr>
          <w:rFonts w:hint="eastAsia" w:ascii="方正仿宋_GBK" w:hAnsi="方正仿宋_GBK" w:eastAsia="方正仿宋_GBK" w:cs="方正仿宋_GBK"/>
          <w:szCs w:val="21"/>
        </w:rPr>
        <w:t>服务承诺等）[格式自拟，根据磋商采购文件“第三章采购需求和第二章 评标办法”要求自行编写]；</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12）培训、技术支持或</w:t>
      </w:r>
      <w:r>
        <w:rPr>
          <w:rFonts w:hint="eastAsia" w:ascii="方正仿宋_GBK" w:hAnsi="方正仿宋_GBK" w:eastAsia="方正仿宋_GBK" w:cs="方正仿宋_GBK"/>
          <w:kern w:val="0"/>
          <w:szCs w:val="21"/>
        </w:rPr>
        <w:t>维保</w:t>
      </w:r>
      <w:r>
        <w:rPr>
          <w:rFonts w:hint="eastAsia" w:ascii="方正仿宋_GBK" w:hAnsi="方正仿宋_GBK" w:eastAsia="方正仿宋_GBK" w:cs="方正仿宋_GBK"/>
          <w:szCs w:val="21"/>
        </w:rPr>
        <w:t>服务承诺方案（根据磋商采购文件“第三章 采购需求和第二章  评标方法”要求自行编写）；</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13）磋商供应商认为需要提供的有关资料（包含但不限于以下内容）：</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①节能环保等方面的资质证书；</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②产品出厂标准、质量检测报告；</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③磋商供应商质量管理和环境认证体系等方面的认证证书；</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④磋商供应商的信誉、荣誉证书；</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⑤磋商供应商认为可以证明其能力或业绩的其他材料；</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以上有关材料应真实有效，并全部加盖磋商供应商公章。磋商供应商应仔细阅读本磋商文件的所有内容，按照磋商采购文件的要求编制响应文件，并对其提交的响应文件的真实性、合法性承担法律责任，项目文件需符合本磋商文件的所有条款、条件和规定，没有明显的偏离或保留。属于“必须提供”的文件必须于本项目截标前与响应文件同时提交，否则竞标无效。其余由磋商供应商视自身情况自行提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 计量单位</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6.1除技术要求中另有规定外，本文件所要求使用的计量单位均应采用国家法定计量单位。</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6.2竞标有效期：“第一章 磋商供应商须知前附表”中规定的竞标有效期。</w:t>
      </w:r>
    </w:p>
    <w:p>
      <w:pPr>
        <w:spacing w:line="36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三、磋商报价要求</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7.1对于本文件中未列明，而磋商供应商认为必需的费用也需列入总报价。在合同实施时，采购人将不予支付成交供应商没有列入的项目费用，并认为此项目的费用已包括在总报价中。</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7.2成交供应商负责本项目服务的全部工作。</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7.3磋商供应商应按磋商报价表上的要求进行报价。大写金额和小写金额不一致的，以大写金额为准；对不同文字文本响应文件的解释发生异议的，以中文文本为准。除上述原因以外，如果因磋商供应商原因引起的报价失误，并在磋商时被接受，其后果由磋商供应商自负。</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7.4磋商供应商须就《采购需求》中的所有服务内容作完整唯一报价。</w:t>
      </w:r>
    </w:p>
    <w:p>
      <w:pPr>
        <w:spacing w:line="36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四、竞争性磋商响应文件的份数、封装和递交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8. 磋商响应文件的份数和封装</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8.1磋商供应商应将竞争性磋商响应文件</w:t>
      </w:r>
      <w:r>
        <w:rPr>
          <w:rFonts w:hint="eastAsia" w:ascii="方正仿宋_GBK" w:hAnsi="方正仿宋_GBK" w:eastAsia="方正仿宋_GBK" w:cs="方正仿宋_GBK"/>
          <w:b/>
          <w:color w:val="auto"/>
          <w:szCs w:val="21"/>
        </w:rPr>
        <w:t>正本一份、副本二份</w:t>
      </w:r>
      <w:r>
        <w:rPr>
          <w:rFonts w:hint="eastAsia" w:ascii="方正仿宋_GBK" w:hAnsi="方正仿宋_GBK" w:eastAsia="方正仿宋_GBK" w:cs="方正仿宋_GBK"/>
          <w:szCs w:val="21"/>
        </w:rPr>
        <w:t>及与响应文件正本内容相一致并经法定代表人或委托代理人签字并盖章好的PDF版扫描件一份（U盘）密封在信封（或包装袋(箱)子）中，密封处加盖公章，并在每套文件右上角注明“正本”、“副本”字样，若正本和副本有差异以正本为准（副本可以采用正本的复印件）。</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8.2竞争性磋商响应文件的信封（或包装袋(箱)子）封面上应写明：</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1）磋商项目名称；</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2）磋商项目编号；</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3）磋商供应商名称；</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4）磋商供应商地址：</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5）磋商供应商联系人；</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6）磋商供应商联系电话；</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7）注明“于开标前不得启封”。</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9. 竞争性磋商响应文件的递交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9.1所有竞争性磋商竞争性响应文件应于“第一章 磋商供应商须知前附表”中规定的时间前递交到规定地点。</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10.迟交的竞争性磋商响应文件</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采购人将拒绝或原封退回在其规定的递交竞争性磋商响应文件截止时间之后收到的任何竞争性磋商响应文件。</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五、磋商的步骤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11.1</w:t>
      </w:r>
      <w:r>
        <w:rPr>
          <w:rFonts w:hint="eastAsia" w:ascii="方正仿宋_GBK" w:hAnsi="方正仿宋_GBK" w:eastAsia="方正仿宋_GBK" w:cs="方正仿宋_GBK"/>
          <w:b/>
          <w:bCs/>
          <w:szCs w:val="21"/>
        </w:rPr>
        <w:t>实质性及符合性审查</w:t>
      </w:r>
    </w:p>
    <w:p>
      <w:pPr>
        <w:snapToGrid w:val="0"/>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1）磋商小组审查磋商响应文件的实质性和符合性内容是否符合磋商采购文件的实质性要求，对通过资格审查的磋商供应商按规定的磋商时间进行磋商。</w:t>
      </w:r>
    </w:p>
    <w:p>
      <w:pPr>
        <w:snapToGrid w:val="0"/>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章或者加盖公章。未实质性响应磋商响应文件的磋商响应文件按无效处理，磋商小组应当告知有关供应商。</w:t>
      </w:r>
    </w:p>
    <w:p>
      <w:pPr>
        <w:snapToGrid w:val="0"/>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3）在采购过程中符合要求的供应商只有2家的，竞争性磋商采购活动可以继续进行或者终止。采购过程中符合要求的供应商只有1家的，采购人应当终止竞争性磋商采购活动，发布项目终止公告并说明原因，重新开展采购活动。</w:t>
      </w:r>
    </w:p>
    <w:p>
      <w:pPr>
        <w:widowControl/>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11.2</w:t>
      </w:r>
      <w:r>
        <w:rPr>
          <w:rFonts w:hint="eastAsia" w:ascii="方正仿宋_GBK" w:hAnsi="方正仿宋_GBK" w:eastAsia="方正仿宋_GBK" w:cs="方正仿宋_GBK"/>
          <w:b/>
          <w:szCs w:val="21"/>
        </w:rPr>
        <w:t>磋商响应文件修正</w:t>
      </w:r>
    </w:p>
    <w:p>
      <w:pPr>
        <w:widowControl/>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（1）磋商小组根据与供应商磋商情况可能实质性变动的内容包括采购需求中的技术、服务要求。</w:t>
      </w:r>
    </w:p>
    <w:p>
      <w:pPr>
        <w:widowControl/>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对磋商文件作出的实质性变动是磋商文件的有效组成部分，供应商应当按照磋商文件的变动情况和磋商小组的要求重新提交修正文件，并由其法定代表人或授权代表签章或者加盖公章。逾时不交的，视同放弃磋商。修正文件与响应文件同具法律效力。</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11.3</w:t>
      </w:r>
      <w:r>
        <w:rPr>
          <w:rFonts w:hint="eastAsia" w:ascii="方正仿宋_GBK" w:hAnsi="方正仿宋_GBK" w:eastAsia="方正仿宋_GBK" w:cs="方正仿宋_GBK"/>
          <w:b/>
          <w:szCs w:val="21"/>
        </w:rPr>
        <w:t xml:space="preserve">最后报价 </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磋商小组只要求通过商务评审和技术（服务）评审合格的磋商供应商在规定的时间内进行最后报价。 </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11.4磋商供应商的最终报价均超过了采购预算，采购人不能支付的，磋商活动终止。</w:t>
      </w:r>
    </w:p>
    <w:p>
      <w:pPr>
        <w:spacing w:line="36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六、确定成交供应商办法</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12.1本项目评标方法是</w:t>
      </w:r>
      <w:r>
        <w:rPr>
          <w:rFonts w:hint="eastAsia" w:ascii="方正仿宋_GBK" w:hAnsi="方正仿宋_GBK" w:eastAsia="方正仿宋_GBK" w:cs="方正仿宋_GBK"/>
          <w:b/>
          <w:szCs w:val="21"/>
        </w:rPr>
        <w:t>综合评分法</w:t>
      </w:r>
      <w:r>
        <w:rPr>
          <w:rFonts w:hint="eastAsia" w:ascii="方正仿宋_GBK" w:hAnsi="方正仿宋_GBK" w:eastAsia="方正仿宋_GBK" w:cs="方正仿宋_GBK"/>
          <w:szCs w:val="21"/>
        </w:rPr>
        <w:t>，具体评标内容及评分标准等详见《第二章：评标方法》。</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12.2采购人按照磋商报告中推荐的成交候选供应商顺序确定成交人。</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12.3成交人确定后，采购人在广西阳光采购服务平台https://gxygcg.ejy365.com、</w:t>
      </w:r>
      <w:r>
        <w:rPr>
          <w:rFonts w:hint="eastAsia" w:ascii="方正仿宋_GBK" w:hAnsi="方正仿宋_GBK" w:eastAsia="方正仿宋_GBK" w:cs="方正仿宋_GBK"/>
          <w:szCs w:val="20"/>
        </w:rPr>
        <w:t>广西北部湾银行官网（www.bankofbbg.com）</w:t>
      </w:r>
      <w:r>
        <w:rPr>
          <w:rFonts w:hint="eastAsia" w:ascii="方正仿宋_GBK" w:hAnsi="方正仿宋_GBK" w:eastAsia="方正仿宋_GBK" w:cs="方正仿宋_GBK"/>
          <w:szCs w:val="21"/>
        </w:rPr>
        <w:t>发布采购结果公示。</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12.4磋商供应商认为磋商采购文件、磋商过程和采购结果使自己的权益受到损害的，可以在知道或者应知其权益受到损害之日起三个工作日内向采购人提出质疑。</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12.5采购人应当在收到磋商供应商的质疑后</w:t>
      </w:r>
      <w:r>
        <w:rPr>
          <w:rFonts w:hint="eastAsia" w:ascii="方正仿宋_GBK" w:hAnsi="方正仿宋_GBK" w:eastAsia="方正仿宋_GBK" w:cs="方正仿宋_GBK"/>
          <w:szCs w:val="21"/>
          <w:lang w:eastAsia="zh-CN"/>
        </w:rPr>
        <w:t>五</w:t>
      </w:r>
      <w:r>
        <w:rPr>
          <w:rFonts w:hint="eastAsia" w:ascii="方正仿宋_GBK" w:hAnsi="方正仿宋_GBK" w:eastAsia="方正仿宋_GBK" w:cs="方正仿宋_GBK"/>
          <w:szCs w:val="21"/>
        </w:rPr>
        <w:t>个工作日内做出答复，但答复的内容不得涉及商业秘密。</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12.6采购人无义务向未成交的供应商解释未中标原因和退还竞标响应文件。</w:t>
      </w:r>
    </w:p>
    <w:p>
      <w:pPr>
        <w:spacing w:line="360" w:lineRule="exact"/>
        <w:ind w:firstLine="517" w:firstLineChars="245"/>
        <w:rPr>
          <w:rFonts w:ascii="方正仿宋_GBK" w:hAnsi="方正仿宋_GBK" w:eastAsia="方正仿宋_GBK" w:cs="方正仿宋_GBK"/>
          <w:b/>
          <w:szCs w:val="21"/>
        </w:rPr>
      </w:pPr>
      <w:r>
        <w:rPr>
          <w:rFonts w:hint="eastAsia" w:ascii="方正仿宋_GBK" w:hAnsi="方正仿宋_GBK" w:eastAsia="方正仿宋_GBK" w:cs="方正仿宋_GBK"/>
          <w:b/>
          <w:szCs w:val="21"/>
        </w:rPr>
        <w:t>七、评标过程的监控</w:t>
      </w:r>
    </w:p>
    <w:p>
      <w:pPr>
        <w:spacing w:line="360" w:lineRule="exact"/>
        <w:ind w:firstLine="514" w:firstLineChars="245"/>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13.本项目磋商过程实行全程录音，磋商供应商在评标过程中所进行的试图影响评标结果的不公正活动，可能导致其竞标被拒绝。</w:t>
      </w:r>
    </w:p>
    <w:p>
      <w:pPr>
        <w:spacing w:line="360" w:lineRule="exact"/>
        <w:ind w:firstLine="517" w:firstLineChars="245"/>
        <w:rPr>
          <w:rFonts w:ascii="方正仿宋_GBK" w:hAnsi="方正仿宋_GBK" w:eastAsia="方正仿宋_GBK" w:cs="方正仿宋_GBK"/>
          <w:b/>
          <w:szCs w:val="21"/>
        </w:rPr>
      </w:pPr>
      <w:r>
        <w:rPr>
          <w:rFonts w:hint="eastAsia" w:ascii="方正仿宋_GBK" w:hAnsi="方正仿宋_GBK" w:eastAsia="方正仿宋_GBK" w:cs="方正仿宋_GBK"/>
          <w:b/>
          <w:szCs w:val="21"/>
        </w:rPr>
        <w:t>八、签订合同</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14.1成交供应商在采购结果公示期结束后按规定与采购人签订服务合同，服务合同条款以双方协定为准。</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14.2如签订合同并生效后，供应商无故拒绝或延期，除按照合同条款处理外，列入不良行为记录，并给予通报。</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九、磋商无效的情形</w:t>
      </w:r>
    </w:p>
    <w:p>
      <w:pPr>
        <w:widowControl/>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15.磋商供应商没有按照磋商采购文件要求提供全部资料，或实质上没有响应磋商采购文件要求的磋商将被视为无效竞标。竞标供应商不得通过修正或撤消不合要求的偏离或保留从而使其竞标成为实质上响应的竞标，但磋商小组认定属于磋商供应商疏忽、笔误所造成的差错，可允许其在磋商结束之前进行修改或者补正（可以是复印件、传真件等，原件必须加盖单位公章）。修改或者补正磋商响应文件必须以书面形式进行，并根据项目情况在采购结果公示之前查核原件。限期内不补正或经补正后仍不符合磋商采购文件要求的，应认定其竞标无效。磋商供应商修改、补正竞标响应文件后，不影响磋商小组对其磋商响应文件所作的评价和评分结果。</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15.1在符合性审查和资格性审查时，如发现下列情形之一的，磋商响应文件将被视为无效：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（1）超越了按照法律法规规定必须获得行政许可或者行政审批的经营范围的；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（2）资格证明文件不全的，或者不符合磋商采购文件标明的资格要求的；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（3）磋商响应文件无法定代表人或委托代理人签字，或未提供法定代表人授权委托书、磋商声明书或者填写项目错误、不齐全的；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（4）竞标代表人未能出具有效身份证明或与法定代表人或委托代理人身份不符的；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（5）竞标响应文件的实质性内容未使用中文表述、意思表述不明确、前后矛盾或者使用计量单位不符合磋商采购文件要求的（经磋商小组认定并允许其当场更正的笔误除外）；</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（6）竞标有效期、交付使用时间、质保期等商务条款不能满足磋商采购文件要求的；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（7）未实质性响应磋商采购文件要求或者磋商响应文件有采购人不能接受的附加条件的，内容虚假的。</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15.2在技术评审时，如发现下列情形之一的，磋商响应文件将被视为无效：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（1）未提供或未如实提供磋商货物的技术参数，或者磋商响应文件标明的响应或偏离与事实不符或虚假投标的；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（2）明显不符合磋商采购文件要求的规格型号、质量标准、其他等实质性条件，或者经磋商小组认定与磋商采购文件中标注“★”的技术指标、主要功能及要求发生实质性偏离的；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（3）竞标技术方案不明确，存在一个或一个以上备选（替代）磋商方案的；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（4）与其他参加本次磋商供应商的竞标响应文件（技术文件）的文字表述内容差错相同3处以上的。</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15.3 在报价评审时，如发现下列情形之一的，磋商响应文件将被视为无效：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（1）未采用人民币报价或者未按照磋商采购文件标明的币种报价的；</w:t>
      </w:r>
    </w:p>
    <w:p>
      <w:pPr>
        <w:widowControl/>
        <w:tabs>
          <w:tab w:val="left" w:pos="540"/>
        </w:tabs>
        <w:spacing w:line="360" w:lineRule="exact"/>
        <w:ind w:left="420" w:left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（2）竞标报价具有选择性，或者最终价格与磋商响应文件承诺的优惠、折扣、价格不一致的；           </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竞标处理。</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15.4 磋商供应商有下列情形之一的视为磋商供应商相互串通投标，竞标响应文件将被视为无效：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（1）不同磋商供应商的磋商响应文件由同一单位或者个人编制；</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（2）不同磋商供应商委托同一单位或者个人办理磋商事宜；</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（3）不同的磋商供应商的竞标响应文件载明的项目管理员或项目实施人员为同一个人；</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（4）不同磋商供应商的竞标响应文件异常一致或磋商报价呈规律性差异；</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（5）不同磋商供应商的竞标响应文件相互混装。</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15.5关联供应商不得参加同一合同项下采购活动，否则竞标响应文件将被视为无效：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（1）单位负责人为同一人或者存在直接控股、管理关系的不同的供应商，不得参加同一合同项下的采购活动；</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（2）生产厂商授权给供应商后自己不得参加同一合同项下的采购活动。</w:t>
      </w:r>
    </w:p>
    <w:p>
      <w:pPr>
        <w:snapToGrid w:val="0"/>
        <w:ind w:right="482"/>
        <w:jc w:val="center"/>
        <w:outlineLvl w:val="0"/>
        <w:rPr>
          <w:rFonts w:ascii="方正仿宋_GBK" w:hAnsi="方正仿宋_GBK" w:eastAsia="方正仿宋_GBK" w:cs="方正仿宋_GBK"/>
          <w:b/>
          <w:sz w:val="32"/>
          <w:szCs w:val="32"/>
        </w:rPr>
      </w:pPr>
      <w:bookmarkStart w:id="5" w:name="_Toc58064533"/>
      <w:r>
        <w:rPr>
          <w:rFonts w:hint="eastAsia" w:ascii="方正仿宋_GBK" w:hAnsi="方正仿宋_GBK" w:eastAsia="方正仿宋_GBK" w:cs="方正仿宋_GBK"/>
          <w:b/>
          <w:sz w:val="32"/>
          <w:szCs w:val="32"/>
        </w:rPr>
        <w:br w:type="page"/>
      </w:r>
      <w:r>
        <w:rPr>
          <w:rFonts w:hint="eastAsia" w:ascii="方正仿宋_GBK" w:hAnsi="方正仿宋_GBK" w:eastAsia="方正仿宋_GBK" w:cs="方正仿宋_GBK"/>
          <w:b/>
          <w:bCs/>
          <w:sz w:val="32"/>
          <w:szCs w:val="32"/>
        </w:rPr>
        <w:t>第二章 评标方法</w:t>
      </w:r>
      <w:bookmarkEnd w:id="5"/>
    </w:p>
    <w:p>
      <w:pPr>
        <w:pStyle w:val="22"/>
        <w:spacing w:line="360" w:lineRule="exact"/>
        <w:ind w:firstLine="348" w:firstLineChars="165"/>
        <w:rPr>
          <w:rFonts w:ascii="方正仿宋_GBK" w:hAnsi="方正仿宋_GBK" w:eastAsia="方正仿宋_GBK" w:cs="方正仿宋_GBK"/>
          <w:b/>
          <w:szCs w:val="21"/>
        </w:rPr>
      </w:pPr>
      <w:bookmarkStart w:id="6" w:name="_Toc58064534"/>
      <w:r>
        <w:rPr>
          <w:rFonts w:hint="eastAsia" w:ascii="方正仿宋_GBK" w:hAnsi="方正仿宋_GBK" w:eastAsia="方正仿宋_GBK" w:cs="方正仿宋_GBK"/>
          <w:b/>
          <w:szCs w:val="21"/>
        </w:rPr>
        <w:t>一、评标原则</w:t>
      </w:r>
    </w:p>
    <w:p>
      <w:pPr>
        <w:pStyle w:val="22"/>
        <w:spacing w:line="360" w:lineRule="exact"/>
        <w:ind w:firstLine="273" w:firstLineChars="130"/>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(一)</w:t>
      </w:r>
      <w:r>
        <w:rPr>
          <w:rFonts w:hint="eastAsia" w:ascii="方正仿宋_GBK" w:hAnsi="方正仿宋_GBK" w:eastAsia="方正仿宋_GBK" w:cs="方正仿宋_GBK"/>
          <w:szCs w:val="21"/>
        </w:rPr>
        <w:t xml:space="preserve"> 磋商小组的构成：本采购项目的磋商小组由采购人组织的评审专家组成</w:t>
      </w:r>
      <w:r>
        <w:rPr>
          <w:rFonts w:hint="eastAsia" w:ascii="方正仿宋_GBK" w:hAnsi="方正仿宋_GBK" w:eastAsia="方正仿宋_GBK" w:cs="方正仿宋_GBK"/>
          <w:bCs/>
          <w:szCs w:val="21"/>
        </w:rPr>
        <w:t>。</w:t>
      </w:r>
    </w:p>
    <w:p>
      <w:pPr>
        <w:pStyle w:val="22"/>
        <w:spacing w:line="360" w:lineRule="exact"/>
        <w:ind w:firstLine="289" w:firstLineChars="138"/>
        <w:rPr>
          <w:rFonts w:ascii="方正仿宋_GBK" w:hAnsi="方正仿宋_GBK" w:eastAsia="方正仿宋_GBK" w:cs="方正仿宋_GBK"/>
          <w:szCs w:val="21"/>
        </w:rPr>
      </w:pPr>
      <w:r>
        <w:rPr>
          <w:rFonts w:hint="eastAsia" w:ascii="方正仿宋_GBK" w:hAnsi="方正仿宋_GBK" w:eastAsia="方正仿宋_GBK" w:cs="方正仿宋_GBK"/>
          <w:bCs/>
          <w:szCs w:val="21"/>
        </w:rPr>
        <w:t>(二) 评标依据：</w:t>
      </w:r>
      <w:r>
        <w:rPr>
          <w:rFonts w:hint="eastAsia" w:ascii="方正仿宋_GBK" w:hAnsi="方正仿宋_GBK" w:eastAsia="方正仿宋_GBK" w:cs="方正仿宋_GBK"/>
          <w:szCs w:val="21"/>
        </w:rPr>
        <w:t>磋商小组</w:t>
      </w:r>
      <w:r>
        <w:rPr>
          <w:rFonts w:hint="eastAsia" w:ascii="方正仿宋_GBK" w:hAnsi="方正仿宋_GBK" w:eastAsia="方正仿宋_GBK" w:cs="方正仿宋_GBK"/>
          <w:bCs/>
          <w:szCs w:val="21"/>
        </w:rPr>
        <w:t>将以磋商响应文件为评标依据，对磋商供应的商务、技术、报价方面内容按百分制打分(按四舍五入取至百分位）</w:t>
      </w:r>
      <w:r>
        <w:rPr>
          <w:rFonts w:hint="eastAsia" w:ascii="方正仿宋_GBK" w:hAnsi="方正仿宋_GBK" w:eastAsia="方正仿宋_GBK" w:cs="方正仿宋_GBK"/>
          <w:szCs w:val="21"/>
        </w:rPr>
        <w:t>。</w:t>
      </w:r>
    </w:p>
    <w:p>
      <w:pPr>
        <w:pStyle w:val="22"/>
        <w:spacing w:line="360" w:lineRule="exact"/>
        <w:ind w:firstLine="289" w:firstLineChars="138"/>
        <w:rPr>
          <w:rFonts w:ascii="方正仿宋_GBK" w:hAnsi="方正仿宋_GBK" w:eastAsia="方正仿宋_GBK" w:cs="方正仿宋_GBK"/>
          <w:b/>
          <w:bCs/>
          <w:szCs w:val="21"/>
        </w:rPr>
      </w:pPr>
      <w:r>
        <w:rPr>
          <w:rFonts w:hint="eastAsia" w:ascii="方正仿宋_GBK" w:hAnsi="方正仿宋_GBK" w:eastAsia="方正仿宋_GBK" w:cs="方正仿宋_GBK"/>
          <w:bCs/>
          <w:szCs w:val="21"/>
        </w:rPr>
        <w:t xml:space="preserve">(三) </w:t>
      </w:r>
      <w:r>
        <w:rPr>
          <w:rFonts w:hint="eastAsia" w:ascii="方正仿宋_GBK" w:hAnsi="方正仿宋_GBK" w:eastAsia="方正仿宋_GBK" w:cs="方正仿宋_GBK"/>
          <w:b/>
          <w:bCs/>
          <w:szCs w:val="21"/>
        </w:rPr>
        <w:t>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磋商处理。</w:t>
      </w:r>
    </w:p>
    <w:p>
      <w:pPr>
        <w:spacing w:line="36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二、评定方法</w:t>
      </w:r>
    </w:p>
    <w:tbl>
      <w:tblPr>
        <w:tblStyle w:val="43"/>
        <w:tblW w:w="10076" w:type="dxa"/>
        <w:jc w:val="center"/>
        <w:tblLayout w:type="fixed"/>
        <w:tblCellMar>
          <w:top w:w="0" w:type="dxa"/>
          <w:left w:w="108" w:type="dxa"/>
          <w:bottom w:w="0" w:type="dxa"/>
          <w:right w:w="108" w:type="dxa"/>
        </w:tblCellMar>
      </w:tblPr>
      <w:tblGrid>
        <w:gridCol w:w="654"/>
        <w:gridCol w:w="962"/>
        <w:gridCol w:w="1224"/>
        <w:gridCol w:w="6306"/>
        <w:gridCol w:w="930"/>
      </w:tblGrid>
      <w:tr>
        <w:tblPrEx>
          <w:tblCellMar>
            <w:top w:w="0" w:type="dxa"/>
            <w:left w:w="108" w:type="dxa"/>
            <w:bottom w:w="0" w:type="dxa"/>
            <w:right w:w="108" w:type="dxa"/>
          </w:tblCellMar>
        </w:tblPrEx>
        <w:trPr>
          <w:trHeight w:val="7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评分项目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评分因素</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Style w:val="173"/>
                <w:rFonts w:hint="default" w:ascii="方正仿宋_GBK" w:hAnsi="方正仿宋_GBK" w:eastAsia="方正仿宋_GBK" w:cs="方正仿宋_GBK"/>
                <w:sz w:val="21"/>
                <w:szCs w:val="21"/>
                <w:lang w:bidi="ar"/>
              </w:rPr>
              <w:t>评审具体内容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分值</w:t>
            </w:r>
          </w:p>
        </w:tc>
      </w:tr>
      <w:tr>
        <w:tblPrEx>
          <w:tblCellMar>
            <w:top w:w="0" w:type="dxa"/>
            <w:left w:w="108" w:type="dxa"/>
            <w:bottom w:w="0" w:type="dxa"/>
            <w:right w:w="108" w:type="dxa"/>
          </w:tblCellMar>
        </w:tblPrEx>
        <w:trPr>
          <w:trHeight w:val="920" w:hRule="atLeast"/>
          <w:jc w:val="center"/>
        </w:trPr>
        <w:tc>
          <w:tcPr>
            <w:tcW w:w="65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962" w:type="dxa"/>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商务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color w:val="000000"/>
                <w:kern w:val="0"/>
                <w:szCs w:val="21"/>
                <w:lang w:bidi="ar"/>
              </w:rPr>
              <w:t>信誉分</w:t>
            </w:r>
            <w:r>
              <w:rPr>
                <w:rFonts w:hint="eastAsia" w:ascii="方正仿宋_GBK" w:hAnsi="方正仿宋_GBK" w:eastAsia="方正仿宋_GBK" w:cs="方正仿宋_GBK"/>
                <w:color w:val="000000"/>
                <w:kern w:val="0"/>
                <w:szCs w:val="21"/>
                <w:lang w:eastAsia="zh-CN" w:bidi="ar"/>
              </w:rPr>
              <w:t>（</w:t>
            </w:r>
            <w:r>
              <w:rPr>
                <w:rFonts w:hint="eastAsia" w:ascii="方正仿宋_GBK" w:hAnsi="方正仿宋_GBK" w:eastAsia="方正仿宋_GBK" w:cs="方正仿宋_GBK"/>
                <w:color w:val="000000"/>
                <w:kern w:val="0"/>
                <w:szCs w:val="21"/>
                <w:lang w:val="en-US" w:eastAsia="zh-CN" w:bidi="ar"/>
              </w:rPr>
              <w:t>5分</w:t>
            </w:r>
            <w:r>
              <w:rPr>
                <w:rFonts w:hint="eastAsia" w:ascii="方正仿宋_GBK" w:hAnsi="方正仿宋_GBK" w:eastAsia="方正仿宋_GBK" w:cs="方正仿宋_GBK"/>
                <w:color w:val="000000"/>
                <w:kern w:val="0"/>
                <w:szCs w:val="21"/>
                <w:lang w:eastAsia="zh-CN" w:bidi="ar"/>
              </w:rPr>
              <w:t>）</w:t>
            </w:r>
          </w:p>
        </w:tc>
        <w:tc>
          <w:tcPr>
            <w:tcW w:w="630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1、投标人具有承装（修、试）电力设施许可证（四级及以上含四级）得 1分。（以提供</w:t>
            </w:r>
            <w:r>
              <w:rPr>
                <w:rFonts w:hint="eastAsia" w:ascii="方正仿宋_GBK" w:hAnsi="方正仿宋_GBK" w:eastAsia="方正仿宋_GBK" w:cs="方正仿宋_GBK"/>
                <w:color w:val="000000"/>
                <w:kern w:val="0"/>
                <w:szCs w:val="21"/>
                <w:lang w:val="en-US" w:eastAsia="zh-CN" w:bidi="ar"/>
              </w:rPr>
              <w:t>有效期内</w:t>
            </w:r>
            <w:r>
              <w:rPr>
                <w:rFonts w:hint="eastAsia" w:ascii="方正仿宋_GBK" w:hAnsi="方正仿宋_GBK" w:eastAsia="方正仿宋_GBK" w:cs="方正仿宋_GBK"/>
                <w:color w:val="000000"/>
                <w:kern w:val="0"/>
                <w:szCs w:val="21"/>
                <w:lang w:bidi="ar"/>
              </w:rPr>
              <w:t>证书复印件为准并加盖供应商公章）</w:t>
            </w:r>
          </w:p>
          <w:p>
            <w:pPr>
              <w:widowControl/>
              <w:textAlignment w:val="top"/>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2、投标人具有全部生产厂商（制造商）原厂授权证书得2分。（以提供加盖原设备厂商（制造商）印章的原件为准）                                             </w:t>
            </w:r>
          </w:p>
          <w:p>
            <w:pPr>
              <w:widowControl/>
              <w:textAlignment w:val="top"/>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3、投标人具体质量管理体系认证证书、环境管理体系认证证书、职业健康安全管理体系认证证书、质量服务诚信单位证书，每提供一项得 1分，最多得2分。（以提供</w:t>
            </w:r>
            <w:r>
              <w:rPr>
                <w:rFonts w:hint="eastAsia" w:ascii="方正仿宋_GBK" w:hAnsi="方正仿宋_GBK" w:eastAsia="方正仿宋_GBK" w:cs="方正仿宋_GBK"/>
                <w:color w:val="000000"/>
                <w:kern w:val="0"/>
                <w:szCs w:val="21"/>
                <w:lang w:val="en-US" w:eastAsia="zh-CN" w:bidi="ar"/>
              </w:rPr>
              <w:t>有效期内</w:t>
            </w:r>
            <w:r>
              <w:rPr>
                <w:rFonts w:hint="eastAsia" w:ascii="方正仿宋_GBK" w:hAnsi="方正仿宋_GBK" w:eastAsia="方正仿宋_GBK" w:cs="方正仿宋_GBK"/>
                <w:color w:val="000000"/>
                <w:kern w:val="0"/>
                <w:szCs w:val="21"/>
                <w:lang w:bidi="ar"/>
              </w:rPr>
              <w:t>证书复印件为准并加盖供应商公章）。</w:t>
            </w:r>
          </w:p>
        </w:tc>
        <w:tc>
          <w:tcPr>
            <w:tcW w:w="93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1</w:t>
            </w:r>
            <w:r>
              <w:rPr>
                <w:rFonts w:hint="eastAsia" w:ascii="方正仿宋_GBK" w:hAnsi="方正仿宋_GBK" w:eastAsia="方正仿宋_GBK" w:cs="方正仿宋_GBK"/>
                <w:color w:val="000000"/>
                <w:kern w:val="0"/>
                <w:szCs w:val="21"/>
                <w:lang w:val="en-US" w:eastAsia="zh-CN" w:bidi="ar"/>
              </w:rPr>
              <w:t>5</w:t>
            </w:r>
            <w:r>
              <w:rPr>
                <w:rFonts w:hint="eastAsia" w:ascii="方正仿宋_GBK" w:hAnsi="方正仿宋_GBK" w:eastAsia="方正仿宋_GBK" w:cs="方正仿宋_GBK"/>
                <w:color w:val="000000"/>
                <w:kern w:val="0"/>
                <w:szCs w:val="21"/>
                <w:lang w:bidi="ar"/>
              </w:rPr>
              <w:t>分</w:t>
            </w:r>
          </w:p>
        </w:tc>
      </w:tr>
      <w:tr>
        <w:tblPrEx>
          <w:tblCellMar>
            <w:top w:w="0" w:type="dxa"/>
            <w:left w:w="108" w:type="dxa"/>
            <w:bottom w:w="0" w:type="dxa"/>
            <w:right w:w="108" w:type="dxa"/>
          </w:tblCellMar>
        </w:tblPrEx>
        <w:trPr>
          <w:trHeight w:val="720" w:hRule="atLeast"/>
          <w:jc w:val="center"/>
        </w:trPr>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962" w:type="dxa"/>
            <w:vMerge w:val="continue"/>
            <w:tcBorders>
              <w:top w:val="nil"/>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color w:val="000000"/>
                <w:kern w:val="0"/>
                <w:szCs w:val="21"/>
                <w:lang w:bidi="ar"/>
              </w:rPr>
              <w:t>项目业绩分</w:t>
            </w:r>
            <w:r>
              <w:rPr>
                <w:rFonts w:hint="eastAsia" w:ascii="方正仿宋_GBK" w:hAnsi="方正仿宋_GBK" w:eastAsia="方正仿宋_GBK" w:cs="方正仿宋_GBK"/>
                <w:color w:val="000000"/>
                <w:kern w:val="0"/>
                <w:szCs w:val="21"/>
                <w:lang w:eastAsia="zh-CN" w:bidi="ar"/>
              </w:rPr>
              <w:t>（</w:t>
            </w:r>
            <w:r>
              <w:rPr>
                <w:rFonts w:hint="eastAsia" w:ascii="方正仿宋_GBK" w:hAnsi="方正仿宋_GBK" w:eastAsia="方正仿宋_GBK" w:cs="方正仿宋_GBK"/>
                <w:color w:val="000000"/>
                <w:kern w:val="0"/>
                <w:szCs w:val="21"/>
                <w:lang w:val="en-US" w:eastAsia="zh-CN" w:bidi="ar"/>
              </w:rPr>
              <w:t>10分</w:t>
            </w:r>
            <w:r>
              <w:rPr>
                <w:rFonts w:hint="eastAsia" w:ascii="方正仿宋_GBK" w:hAnsi="方正仿宋_GBK" w:eastAsia="方正仿宋_GBK" w:cs="方正仿宋_GBK"/>
                <w:color w:val="000000"/>
                <w:kern w:val="0"/>
                <w:szCs w:val="21"/>
                <w:lang w:eastAsia="zh-CN" w:bidi="ar"/>
              </w:rPr>
              <w:t>）</w:t>
            </w:r>
          </w:p>
        </w:tc>
        <w:tc>
          <w:tcPr>
            <w:tcW w:w="630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2021年7 月1日以来至响应文件递交截止日期止，投标人有类似项目业绩，单个合同业绩金额应不小于10万元。（类似业绩是指发电机组的维修、或维保项目）每个符合要求的合同业绩，得2分，满分10分。</w:t>
            </w:r>
          </w:p>
          <w:p>
            <w:pPr>
              <w:widowControl/>
              <w:textAlignment w:val="top"/>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评审原则：</w:t>
            </w:r>
          </w:p>
          <w:p>
            <w:pPr>
              <w:widowControl/>
              <w:textAlignment w:val="top"/>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1、以提供的合同或者本公告发布之日起回溯半年内中标（成交）通知书复印件或合同签订日期为准，并加盖供应商公章。</w:t>
            </w:r>
          </w:p>
          <w:p>
            <w:pPr>
              <w:widowControl/>
              <w:textAlignment w:val="top"/>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投标人提供业绩证明均须提供合同关键页扫描件，并提供对应业绩合同的全部发票扫描件及全部发票国家税务查询平台的查询截图作为证明资料，发票的开票内容应至少体现“维修”或“维保”字眼的任意一种，相关资料加盖投标人公章，否则不计分。</w:t>
            </w:r>
          </w:p>
        </w:tc>
        <w:tc>
          <w:tcPr>
            <w:tcW w:w="9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1336"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拟投入人员</w:t>
            </w:r>
          </w:p>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（10分）</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1.拟投入本项目的项目经理：</w:t>
            </w:r>
          </w:p>
          <w:p>
            <w:pPr>
              <w:widowControl/>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项目经理具有机电工程专业一级建造师及以上资质（3分）                                         </w:t>
            </w:r>
          </w:p>
          <w:p>
            <w:pPr>
              <w:widowControl/>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项目经理具有有效的安全生产考核合格证（建安B证）（3分）                                                     </w:t>
            </w:r>
          </w:p>
          <w:p>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注：依据投标人提供项目经理有效期内的职称证书或资质证书（彩色扫描件加盖供应商公章）进行打分，需提供服务商为本项目经理缴纳的投标截止时间前半年内连续3个月的社保缴纳证明材料，否则该项不得分。                                                        2.拟投入团队人员：（4分）                                                                        </w:t>
            </w:r>
          </w:p>
          <w:p>
            <w:pPr>
              <w:widowControl/>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团队主要人员，应具备电工证至少2人，每增加1人得1分，得满4分为止。                                 </w:t>
            </w:r>
          </w:p>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注：依据投标人提供项目成员资料进行打分， 需提供每个人员的身份证、电工证以及电工证查询截图。需提供投标人为本项目成员缴纳的投标截止时间前半年内连续3个月的社保缴纳证明材料，每个人员均需提供对应的资料，资料应按要求提供完整，缺任意1项资料，该项不得分。                                                                                                                                               </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val="en-US" w:eastAsia="zh-CN" w:bidi="ar"/>
              </w:rPr>
              <w:t>45</w:t>
            </w:r>
            <w:r>
              <w:rPr>
                <w:rFonts w:hint="eastAsia" w:ascii="方正仿宋_GBK" w:hAnsi="方正仿宋_GBK" w:eastAsia="方正仿宋_GBK" w:cs="方正仿宋_GBK"/>
                <w:color w:val="000000"/>
                <w:kern w:val="0"/>
                <w:szCs w:val="21"/>
                <w:lang w:bidi="ar"/>
              </w:rPr>
              <w:t>分</w:t>
            </w:r>
          </w:p>
        </w:tc>
      </w:tr>
      <w:tr>
        <w:tblPrEx>
          <w:tblCellMar>
            <w:top w:w="0" w:type="dxa"/>
            <w:left w:w="108" w:type="dxa"/>
            <w:bottom w:w="0" w:type="dxa"/>
            <w:right w:w="108" w:type="dxa"/>
          </w:tblCellMar>
        </w:tblPrEx>
        <w:trPr>
          <w:trHeight w:val="13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服务方案及其管理措施（</w:t>
            </w:r>
            <w:r>
              <w:rPr>
                <w:rFonts w:hint="eastAsia" w:ascii="方正仿宋_GBK" w:hAnsi="方正仿宋_GBK" w:eastAsia="方正仿宋_GBK" w:cs="方正仿宋_GBK"/>
                <w:color w:val="000000"/>
                <w:kern w:val="0"/>
                <w:szCs w:val="21"/>
                <w:lang w:eastAsia="zh-CN" w:bidi="ar"/>
              </w:rPr>
              <w:t>1</w:t>
            </w:r>
            <w:r>
              <w:rPr>
                <w:rFonts w:hint="eastAsia" w:ascii="方正仿宋_GBK" w:hAnsi="方正仿宋_GBK" w:eastAsia="方正仿宋_GBK" w:cs="方正仿宋_GBK"/>
                <w:color w:val="000000"/>
                <w:kern w:val="0"/>
                <w:szCs w:val="21"/>
                <w:lang w:bidi="ar"/>
              </w:rPr>
              <w:t>5分）</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 xml:space="preserve">对供应商的服务承诺和管理措施的合理性科学性，从以下方面进行评估：                                             </w:t>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一档：完整周全、重点突出、编制思路明晰、难点把握准且做出深入分析，管理措施利于项目实际，得10.1-15分；</w:t>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二档：完整较周全，有重点、难点且做出简单分析，主要内容的编制思路较明晰，管理措施符合项目实际，得5.1-10分；</w:t>
            </w:r>
          </w:p>
          <w:p>
            <w:pPr>
              <w:keepNext w:val="0"/>
              <w:keepLines w:val="0"/>
              <w:widowControl/>
              <w:suppressLineNumbers w:val="0"/>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i w:val="0"/>
                <w:color w:val="000000"/>
                <w:kern w:val="0"/>
                <w:sz w:val="21"/>
                <w:szCs w:val="21"/>
                <w:u w:val="none"/>
                <w:lang w:val="en-US" w:eastAsia="zh-CN" w:bidi="ar"/>
              </w:rPr>
              <w:t>三档：不够周全，有重点、难点且做出分析，主要内容的编制思路合理，管理措施部分仅满足磋商文件要求，得0-5分。</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13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项目质量控制措施（10分）</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按照方案的科学、合理、针对性及文件制作水平评分，满分10分。                                                          一档：上述方案针对需求，切合实际，科学合理，内容严谨、简练，得7.1-10分；</w:t>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二档：需求理解符合要求，符合实际，科学合理，内容编写简单，得3.1-7分；</w:t>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三档：与需求有偏差但在磋商文件允许的偏离范围内，科学合理性较弱，内容冗杂、多余，得1-3分。</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13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当地服务机构（10分）</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 xml:space="preserve">供应商在项目地点南宁市城区范围内有分支机构或办事处，并能提供3名（含）以上常驻南宁的运维人员，得10分。在非南宁市的广西内其它城市有分支机构或办事处得5分。                                    </w:t>
            </w: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注:1、运维人员需经生产厂商（制造商）原厂厂家培训合格取得证书。提供获得原厂厂家培训合格运维人员证书及投标人直接为其缴纳的截标前半年内连续3个月社保证明材料;                                                                    2、分支机构需提供行政机构颁发的有效的工商营业执照，办事处需提供办公场所证明材料，方可纳入有效统计。</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227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lang w:val="en-US" w:eastAsia="zh-CN"/>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color w:val="000000"/>
                <w:szCs w:val="21"/>
                <w:lang w:val="en-US" w:eastAsia="zh-CN"/>
              </w:rPr>
              <w:t>价格</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val="en-US" w:eastAsia="zh-CN" w:bidi="ar"/>
              </w:rPr>
              <w:t>价格分（40分）</w:t>
            </w:r>
          </w:p>
        </w:tc>
        <w:tc>
          <w:tcPr>
            <w:tcW w:w="630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投标人价格得分的计算:各供应商报价的算数平均值作为评标基准价。投标报价等于评标基准价时，报价得分为满分，投标报价低于或高于评标基准价时，以分值为基数减分：</w:t>
            </w:r>
          </w:p>
          <w:p>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投标报价低于评标基准价时，每低1个百分点减0.5分，报价得分=40-(评标基准价－投标报价)/评标基准价×100×0.5；</w:t>
            </w:r>
          </w:p>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投标报价高于评标基准价时，每高1个百分点减1分，报价得分=40-(投标报价－评标基准价)/评标基准价×100×1。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val="en-US" w:eastAsia="zh-CN" w:bidi="ar"/>
              </w:rPr>
              <w:t>40分</w:t>
            </w:r>
          </w:p>
        </w:tc>
      </w:tr>
      <w:tr>
        <w:tblPrEx>
          <w:tblCellMar>
            <w:top w:w="0" w:type="dxa"/>
            <w:left w:w="108" w:type="dxa"/>
            <w:bottom w:w="0" w:type="dxa"/>
            <w:right w:w="108" w:type="dxa"/>
          </w:tblCellMar>
        </w:tblPrEx>
        <w:trPr>
          <w:trHeight w:val="400" w:hRule="atLeast"/>
          <w:jc w:val="center"/>
        </w:trPr>
        <w:tc>
          <w:tcPr>
            <w:tcW w:w="10076"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总得分＝1＋2＋3</w:t>
            </w:r>
          </w:p>
        </w:tc>
      </w:tr>
    </w:tbl>
    <w:p>
      <w:pPr>
        <w:tabs>
          <w:tab w:val="left" w:pos="426"/>
        </w:tabs>
        <w:spacing w:line="360" w:lineRule="exact"/>
        <w:ind w:firstLine="422" w:firstLineChars="200"/>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三、成交候选人推荐原则</w:t>
      </w:r>
    </w:p>
    <w:p>
      <w:pPr>
        <w:spacing w:line="340" w:lineRule="exact"/>
        <w:ind w:right="-94" w:rightChars="-45"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磋商小组将根据得分由高到低排列次序</w:t>
      </w:r>
      <w:r>
        <w:rPr>
          <w:rFonts w:hint="eastAsia" w:ascii="方正仿宋_GBK" w:hAnsi="方正仿宋_GBK" w:eastAsia="方正仿宋_GBK" w:cs="方正仿宋_GBK"/>
          <w:b/>
          <w:kern w:val="0"/>
          <w:szCs w:val="21"/>
        </w:rPr>
        <w:t>[得分相同时，以磋商报价由低到高顺序排列；得分相同且磋商报价相同的，按</w:t>
      </w:r>
      <w:r>
        <w:rPr>
          <w:rFonts w:hint="eastAsia" w:ascii="方正仿宋_GBK" w:hAnsi="方正仿宋_GBK" w:eastAsia="方正仿宋_GBK" w:cs="方正仿宋_GBK"/>
          <w:b/>
          <w:kern w:val="0"/>
          <w:szCs w:val="21"/>
          <w:highlight w:val="none"/>
          <w:lang w:eastAsia="zh-CN"/>
        </w:rPr>
        <w:t>技术</w:t>
      </w:r>
      <w:r>
        <w:rPr>
          <w:rFonts w:hint="eastAsia" w:ascii="方正仿宋_GBK" w:hAnsi="方正仿宋_GBK" w:eastAsia="方正仿宋_GBK" w:cs="方正仿宋_GBK"/>
          <w:b/>
          <w:kern w:val="0"/>
          <w:szCs w:val="21"/>
          <w:highlight w:val="none"/>
        </w:rPr>
        <w:t>得分</w:t>
      </w:r>
      <w:r>
        <w:rPr>
          <w:rFonts w:hint="eastAsia" w:ascii="方正仿宋_GBK" w:hAnsi="方正仿宋_GBK" w:eastAsia="方正仿宋_GBK" w:cs="方正仿宋_GBK"/>
          <w:b/>
          <w:kern w:val="0"/>
          <w:szCs w:val="21"/>
        </w:rPr>
        <w:t>优劣顺序排列]</w:t>
      </w:r>
      <w:r>
        <w:rPr>
          <w:rFonts w:hint="eastAsia" w:ascii="方正仿宋_GBK" w:hAnsi="方正仿宋_GBK" w:eastAsia="方正仿宋_GBK" w:cs="方正仿宋_GBK"/>
          <w:kern w:val="0"/>
          <w:szCs w:val="21"/>
        </w:rPr>
        <w:t>并推荐成交候选供应商。采购单位应当确定评审委员会推荐排名第一的成交候选人为成交人。排名第一的成交候选人放弃中标、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w:t>
      </w:r>
    </w:p>
    <w:p>
      <w:pPr>
        <w:snapToGrid w:val="0"/>
        <w:ind w:right="482"/>
        <w:jc w:val="center"/>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r>
        <w:rPr>
          <w:rFonts w:hint="eastAsia" w:ascii="方正仿宋_GBK" w:hAnsi="方正仿宋_GBK" w:eastAsia="方正仿宋_GBK" w:cs="方正仿宋_GBK"/>
          <w:b/>
          <w:bCs/>
          <w:sz w:val="32"/>
          <w:szCs w:val="32"/>
        </w:rPr>
        <w:t>第三章 采购需求</w:t>
      </w:r>
      <w:bookmarkEnd w:id="6"/>
    </w:p>
    <w:p>
      <w:pPr>
        <w:spacing w:line="360" w:lineRule="exact"/>
        <w:rPr>
          <w:rFonts w:ascii="方正仿宋_GBK" w:hAnsi="方正仿宋_GBK" w:eastAsia="方正仿宋_GBK" w:cs="方正仿宋_GBK"/>
          <w:sz w:val="28"/>
        </w:rPr>
      </w:pPr>
      <w:r>
        <w:rPr>
          <w:rFonts w:hint="eastAsia" w:ascii="方正仿宋_GBK" w:hAnsi="方正仿宋_GBK" w:eastAsia="方正仿宋_GBK" w:cs="方正仿宋_GBK"/>
          <w:b/>
        </w:rPr>
        <w:t>说明：</w:t>
      </w:r>
    </w:p>
    <w:p>
      <w:pPr>
        <w:spacing w:line="360" w:lineRule="exact"/>
        <w:ind w:firstLine="422" w:firstLineChars="200"/>
        <w:rPr>
          <w:rFonts w:ascii="方正仿宋_GBK" w:hAnsi="方正仿宋_GBK" w:eastAsia="方正仿宋_GBK" w:cs="方正仿宋_GBK"/>
          <w:b/>
        </w:rPr>
      </w:pPr>
      <w:r>
        <w:rPr>
          <w:rFonts w:hint="eastAsia" w:ascii="方正仿宋_GBK" w:hAnsi="方正仿宋_GBK" w:eastAsia="方正仿宋_GBK" w:cs="方正仿宋_GBK"/>
          <w:b/>
        </w:rPr>
        <w:t>1、本</w:t>
      </w:r>
      <w:r>
        <w:rPr>
          <w:rFonts w:hint="eastAsia" w:ascii="方正仿宋_GBK" w:hAnsi="方正仿宋_GBK" w:eastAsia="方正仿宋_GBK" w:cs="方正仿宋_GBK"/>
          <w:b/>
          <w:lang w:eastAsia="zh-CN"/>
        </w:rPr>
        <w:t>项目</w:t>
      </w:r>
      <w:r>
        <w:rPr>
          <w:rFonts w:hint="eastAsia" w:ascii="方正仿宋_GBK" w:hAnsi="方正仿宋_GBK" w:eastAsia="方正仿宋_GBK" w:cs="方正仿宋_GBK"/>
          <w:b/>
        </w:rPr>
        <w:t>中的品牌型号、技术参数及其性能（配置）仅起参考作用，磋商供应商可选用其他品牌型号替代，但这些替代的品牌型号要实质上相当于或优于参考品牌型号及其技术参数性能（配置）要求。</w:t>
      </w:r>
    </w:p>
    <w:p>
      <w:pPr>
        <w:spacing w:line="36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2、</w:t>
      </w:r>
      <w:r>
        <w:rPr>
          <w:rFonts w:hint="eastAsia" w:ascii="方正仿宋_GBK" w:hAnsi="方正仿宋_GBK" w:eastAsia="方正仿宋_GBK" w:cs="方正仿宋_GBK"/>
          <w:b/>
        </w:rPr>
        <w:t>本</w:t>
      </w:r>
      <w:r>
        <w:rPr>
          <w:rFonts w:hint="eastAsia" w:ascii="方正仿宋_GBK" w:hAnsi="方正仿宋_GBK" w:eastAsia="方正仿宋_GBK" w:cs="方正仿宋_GBK"/>
          <w:b/>
          <w:lang w:eastAsia="zh-CN"/>
        </w:rPr>
        <w:t>项目</w:t>
      </w:r>
      <w:r>
        <w:rPr>
          <w:rFonts w:hint="eastAsia" w:ascii="方正仿宋_GBK" w:hAnsi="方正仿宋_GBK" w:eastAsia="方正仿宋_GBK" w:cs="方正仿宋_GBK"/>
          <w:b/>
          <w:bCs/>
        </w:rPr>
        <w:t>中参考品牌型号及技术参数及配置不明确或有误的，或磋商供应商选有其他品牌型号替代的，请以详细正确的品牌型号、技术参数及配置同时填写竞标报价表和技术规格响应表。</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3、凡在</w:t>
      </w:r>
      <w:r>
        <w:rPr>
          <w:rFonts w:hint="eastAsia" w:ascii="方正仿宋_GBK" w:hAnsi="方正仿宋_GBK" w:eastAsia="方正仿宋_GBK" w:cs="方正仿宋_GBK"/>
          <w:b/>
          <w:bCs/>
          <w:lang w:eastAsia="zh-CN"/>
        </w:rPr>
        <w:t>“采购需求”</w:t>
      </w:r>
      <w:r>
        <w:rPr>
          <w:rFonts w:hint="eastAsia" w:ascii="方正仿宋_GBK" w:hAnsi="方正仿宋_GBK" w:eastAsia="方正仿宋_GBK" w:cs="方正仿宋_GBK"/>
          <w:b/>
          <w:bCs/>
        </w:rPr>
        <w:t>中表述为“标配”或“标准配置”的设备，磋商供应商应在竞标文件中将其标配参数详细列明。</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4、在技术评审时，如发现下列情形之一的，磋商响应文件将被视为无效竞标：</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（1）未提供或未如实提供竞标货物的技术参数，或者磋商响应文件标明的响应或偏离与事实不符或虚假竞标的；</w:t>
      </w:r>
    </w:p>
    <w:p>
      <w:pPr>
        <w:spacing w:line="340" w:lineRule="exact"/>
        <w:ind w:firstLine="422" w:firstLineChars="200"/>
        <w:rPr>
          <w:rFonts w:hint="eastAsia" w:ascii="方正仿宋_GBK" w:hAnsi="方正仿宋_GBK" w:eastAsia="方正仿宋_GBK" w:cs="方正仿宋_GBK"/>
          <w:b/>
          <w:bCs/>
        </w:rPr>
      </w:pPr>
      <w:r>
        <w:rPr>
          <w:rFonts w:hint="eastAsia" w:ascii="方正仿宋_GBK" w:hAnsi="方正仿宋_GBK" w:eastAsia="方正仿宋_GBK" w:cs="方正仿宋_GBK"/>
          <w:b/>
          <w:bCs/>
        </w:rPr>
        <w:t>（2）明显不符合磋商采购文件要求的规格型号、质量标准、其他等实质性条件，或者经磋商小组会认定与磋商采购文件中标注“</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bCs/>
        </w:rPr>
        <w:t>”的技术指标、主要功能及要求发生实质性偏离的；</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（3）允许偏离的技术、性能指标或者辅助功能项目经磋商小组认定发生负偏离达3项以上的（按分标独立统计）；</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5、竞标产品必须是符合相关国家质量标准的全新合格产品。</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rPr>
        <w:t>6、竞标产品为进口产品（即通过中国海关报关验放进入中国境内且产自关境外的产品）参与竞标的，中标人必须负责办理进口设备的相关手续及承担相关的所有费用，并在交货验收时提供合法完整的进口产品手续证明文件。</w:t>
      </w:r>
    </w:p>
    <w:p>
      <w:pPr>
        <w:spacing w:line="360" w:lineRule="exact"/>
        <w:ind w:left="-10" w:leftChars="-5" w:right="2" w:rightChars="1"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7、磋商采购文件中所要求提供的证明材料，如为英文文本的请在竞标文件中提供中文翻释文本。</w:t>
      </w:r>
    </w:p>
    <w:p>
      <w:pPr>
        <w:spacing w:line="360" w:lineRule="exact"/>
        <w:ind w:right="2" w:rightChars="1"/>
        <w:rPr>
          <w:rFonts w:ascii="方正仿宋_GBK" w:hAnsi="方正仿宋_GBK" w:eastAsia="方正仿宋_GBK" w:cs="方正仿宋_GBK"/>
          <w:b/>
          <w:bCs/>
          <w:sz w:val="28"/>
        </w:rPr>
      </w:pPr>
    </w:p>
    <w:p>
      <w:pPr>
        <w:numPr>
          <w:ilvl w:val="0"/>
          <w:numId w:val="2"/>
        </w:numPr>
        <w:spacing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基本情况：</w:t>
      </w:r>
    </w:p>
    <w:p>
      <w:pPr>
        <w:spacing w:line="360" w:lineRule="auto"/>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一</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采购</w:t>
      </w:r>
      <w:r>
        <w:rPr>
          <w:rFonts w:hint="eastAsia" w:ascii="方正仿宋_GBK" w:hAnsi="方正仿宋_GBK" w:eastAsia="方正仿宋_GBK" w:cs="方正仿宋_GBK"/>
          <w:sz w:val="21"/>
          <w:szCs w:val="21"/>
        </w:rPr>
        <w:t>内容：</w:t>
      </w:r>
    </w:p>
    <w:tbl>
      <w:tblPr>
        <w:tblStyle w:val="43"/>
        <w:tblW w:w="8926" w:type="dxa"/>
        <w:jc w:val="center"/>
        <w:tblLayout w:type="fixed"/>
        <w:tblCellMar>
          <w:top w:w="0" w:type="dxa"/>
          <w:left w:w="108" w:type="dxa"/>
          <w:bottom w:w="0" w:type="dxa"/>
          <w:right w:w="108" w:type="dxa"/>
        </w:tblCellMar>
      </w:tblPr>
      <w:tblGrid>
        <w:gridCol w:w="1858"/>
        <w:gridCol w:w="3006"/>
        <w:gridCol w:w="1275"/>
        <w:gridCol w:w="2787"/>
      </w:tblGrid>
      <w:tr>
        <w:tblPrEx>
          <w:tblCellMar>
            <w:top w:w="0" w:type="dxa"/>
            <w:left w:w="108" w:type="dxa"/>
            <w:bottom w:w="0" w:type="dxa"/>
            <w:right w:w="108" w:type="dxa"/>
          </w:tblCellMar>
        </w:tblPrEx>
        <w:trPr>
          <w:trHeight w:val="900" w:hRule="atLeast"/>
          <w:jc w:val="center"/>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地址</w:t>
            </w:r>
          </w:p>
        </w:tc>
        <w:tc>
          <w:tcPr>
            <w:tcW w:w="3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机组数量</w:t>
            </w:r>
          </w:p>
        </w:tc>
        <w:tc>
          <w:tcPr>
            <w:tcW w:w="27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品牌</w:t>
            </w:r>
          </w:p>
        </w:tc>
      </w:tr>
      <w:tr>
        <w:tblPrEx>
          <w:tblCellMar>
            <w:top w:w="0" w:type="dxa"/>
            <w:left w:w="108" w:type="dxa"/>
            <w:bottom w:w="0" w:type="dxa"/>
            <w:right w:w="108" w:type="dxa"/>
          </w:tblCellMar>
        </w:tblPrEx>
        <w:trPr>
          <w:trHeight w:val="1407" w:hRule="atLeast"/>
          <w:jc w:val="center"/>
        </w:trPr>
        <w:tc>
          <w:tcPr>
            <w:tcW w:w="18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Cs/>
                <w:color w:val="000000"/>
                <w:sz w:val="21"/>
                <w:szCs w:val="21"/>
              </w:rPr>
              <w:t>金融大厦同城数据中心</w:t>
            </w:r>
            <w:r>
              <w:rPr>
                <w:rFonts w:hint="eastAsia" w:ascii="方正仿宋_GBK" w:hAnsi="方正仿宋_GBK" w:eastAsia="方正仿宋_GBK" w:cs="方正仿宋_GBK"/>
                <w:bCs/>
                <w:color w:val="000000"/>
                <w:sz w:val="21"/>
                <w:szCs w:val="21"/>
                <w:lang w:eastAsia="zh-CN"/>
              </w:rPr>
              <w:t>、</w:t>
            </w:r>
            <w:r>
              <w:rPr>
                <w:rFonts w:hint="eastAsia" w:ascii="方正仿宋_GBK" w:hAnsi="方正仿宋_GBK" w:eastAsia="方正仿宋_GBK" w:cs="方正仿宋_GBK"/>
                <w:bCs/>
                <w:color w:val="000000"/>
                <w:sz w:val="21"/>
                <w:szCs w:val="21"/>
              </w:rPr>
              <w:t>五象总部大厦数据中心</w:t>
            </w:r>
            <w:r>
              <w:rPr>
                <w:rFonts w:hint="eastAsia" w:ascii="方正仿宋_GBK" w:hAnsi="方正仿宋_GBK" w:eastAsia="方正仿宋_GBK" w:cs="方正仿宋_GBK"/>
                <w:bCs/>
                <w:color w:val="000000"/>
                <w:sz w:val="21"/>
                <w:szCs w:val="21"/>
                <w:lang w:eastAsia="zh-CN"/>
              </w:rPr>
              <w:t>、</w:t>
            </w:r>
            <w:r>
              <w:rPr>
                <w:rFonts w:hint="eastAsia" w:ascii="方正仿宋_GBK" w:hAnsi="方正仿宋_GBK" w:eastAsia="方正仿宋_GBK" w:cs="方正仿宋_GBK"/>
                <w:bCs/>
                <w:color w:val="000000"/>
                <w:sz w:val="21"/>
                <w:szCs w:val="21"/>
                <w:lang w:val="en-US" w:eastAsia="zh-CN"/>
              </w:rPr>
              <w:t>贺州灾备中心</w:t>
            </w: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1、对发电机系统进行</w:t>
            </w:r>
            <w:r>
              <w:rPr>
                <w:rFonts w:hint="eastAsia" w:ascii="方正仿宋_GBK" w:hAnsi="方正仿宋_GBK" w:eastAsia="方正仿宋_GBK" w:cs="方正仿宋_GBK"/>
                <w:sz w:val="21"/>
                <w:szCs w:val="21"/>
                <w:lang w:val="en-US" w:eastAsia="zh-CN"/>
              </w:rPr>
              <w:t>深度</w:t>
            </w:r>
            <w:r>
              <w:rPr>
                <w:rFonts w:hint="eastAsia" w:ascii="方正仿宋_GBK" w:hAnsi="方正仿宋_GBK" w:eastAsia="方正仿宋_GBK" w:cs="方正仿宋_GBK"/>
                <w:sz w:val="21"/>
                <w:szCs w:val="21"/>
              </w:rPr>
              <w:t>维护保养</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包括更换机油滤清器、柴油滤清器、空气滤清器、机油、防冻液、启动蓄电池（14块200AH免维护发电机组专用蓄电池）。</w:t>
            </w:r>
          </w:p>
        </w:tc>
        <w:tc>
          <w:tcPr>
            <w:tcW w:w="12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台</w:t>
            </w:r>
          </w:p>
        </w:tc>
        <w:tc>
          <w:tcPr>
            <w:tcW w:w="278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贺州灾备中心：玉柴400KW机组1台</w:t>
            </w:r>
          </w:p>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五象数据中心：卡特彼勒</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3516B</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 xml:space="preserve"> 3台</w:t>
            </w:r>
          </w:p>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（机组功率额定1800KW）</w:t>
            </w:r>
            <w:r>
              <w:rPr>
                <w:rFonts w:hint="eastAsia" w:ascii="方正仿宋_GBK" w:hAnsi="方正仿宋_GBK" w:eastAsia="方正仿宋_GBK" w:cs="方正仿宋_GBK"/>
                <w:sz w:val="21"/>
                <w:szCs w:val="21"/>
              </w:rPr>
              <w:t>。</w:t>
            </w:r>
          </w:p>
          <w:p>
            <w:pPr>
              <w:pStyle w:val="2"/>
              <w:jc w:val="center"/>
              <w:rPr>
                <w:rFonts w:hint="eastAsia" w:ascii="方正仿宋_GBK" w:hAnsi="方正仿宋_GBK" w:eastAsia="方正仿宋_GBK" w:cs="方正仿宋_GBK"/>
                <w:kern w:val="2"/>
                <w:sz w:val="21"/>
                <w:szCs w:val="21"/>
                <w:lang w:val="en-US" w:eastAsia="zh-CN"/>
              </w:rPr>
            </w:pPr>
            <w:r>
              <w:rPr>
                <w:rFonts w:hint="eastAsia" w:ascii="方正仿宋_GBK" w:hAnsi="方正仿宋_GBK" w:eastAsia="方正仿宋_GBK" w:cs="方正仿宋_GBK"/>
                <w:kern w:val="2"/>
                <w:sz w:val="21"/>
                <w:szCs w:val="21"/>
              </w:rPr>
              <w:t>金融大厦同城数据中心：博威玉柴</w:t>
            </w:r>
            <w:r>
              <w:rPr>
                <w:rFonts w:hint="eastAsia" w:ascii="方正仿宋_GBK" w:hAnsi="方正仿宋_GBK" w:eastAsia="方正仿宋_GBK" w:cs="方正仿宋_GBK"/>
                <w:kern w:val="2"/>
                <w:sz w:val="21"/>
                <w:szCs w:val="21"/>
                <w:lang w:eastAsia="zh-CN"/>
              </w:rPr>
              <w:t>（</w:t>
            </w:r>
            <w:r>
              <w:rPr>
                <w:rFonts w:hint="eastAsia" w:ascii="方正仿宋_GBK" w:hAnsi="方正仿宋_GBK" w:eastAsia="方正仿宋_GBK" w:cs="方正仿宋_GBK"/>
                <w:kern w:val="2"/>
                <w:sz w:val="21"/>
                <w:szCs w:val="21"/>
                <w:lang w:val="en-US" w:eastAsia="zh-CN"/>
              </w:rPr>
              <w:t>PWY688</w:t>
            </w:r>
            <w:r>
              <w:rPr>
                <w:rFonts w:hint="eastAsia" w:ascii="方正仿宋_GBK" w:hAnsi="方正仿宋_GBK" w:eastAsia="方正仿宋_GBK" w:cs="方正仿宋_GBK"/>
                <w:kern w:val="2"/>
                <w:sz w:val="21"/>
                <w:szCs w:val="21"/>
                <w:lang w:eastAsia="zh-CN"/>
              </w:rPr>
              <w:t>）</w:t>
            </w:r>
            <w:r>
              <w:rPr>
                <w:rFonts w:hint="eastAsia" w:ascii="方正仿宋_GBK" w:hAnsi="方正仿宋_GBK" w:eastAsia="方正仿宋_GBK" w:cs="方正仿宋_GBK"/>
                <w:kern w:val="2"/>
                <w:sz w:val="21"/>
                <w:szCs w:val="21"/>
              </w:rPr>
              <w:t>500KW机组1台</w:t>
            </w:r>
            <w:r>
              <w:rPr>
                <w:rFonts w:hint="eastAsia" w:ascii="方正仿宋_GBK" w:hAnsi="方正仿宋_GBK" w:eastAsia="方正仿宋_GBK" w:cs="方正仿宋_GBK"/>
                <w:kern w:val="2"/>
                <w:sz w:val="21"/>
                <w:szCs w:val="21"/>
                <w:lang w:eastAsia="zh-CN"/>
              </w:rPr>
              <w:t>、</w:t>
            </w:r>
            <w:r>
              <w:rPr>
                <w:rFonts w:hint="eastAsia" w:ascii="方正仿宋_GBK" w:hAnsi="方正仿宋_GBK" w:eastAsia="方正仿宋_GBK" w:cs="方正仿宋_GBK"/>
                <w:kern w:val="2"/>
                <w:sz w:val="21"/>
                <w:szCs w:val="21"/>
                <w:lang w:val="en-US" w:eastAsia="zh-CN"/>
              </w:rPr>
              <w:t>康明斯（KTA19-G6A）500KW机组1台。</w:t>
            </w:r>
          </w:p>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以上设备</w:t>
            </w:r>
            <w:r>
              <w:rPr>
                <w:rFonts w:hint="eastAsia" w:ascii="方正仿宋_GBK" w:hAnsi="方正仿宋_GBK" w:eastAsia="方正仿宋_GBK" w:cs="方正仿宋_GBK"/>
                <w:sz w:val="21"/>
                <w:szCs w:val="21"/>
              </w:rPr>
              <w:t>输出电压等级均为0.4kV</w:t>
            </w:r>
          </w:p>
        </w:tc>
      </w:tr>
      <w:tr>
        <w:tblPrEx>
          <w:tblCellMar>
            <w:top w:w="0" w:type="dxa"/>
            <w:left w:w="108" w:type="dxa"/>
            <w:bottom w:w="0" w:type="dxa"/>
            <w:right w:w="108" w:type="dxa"/>
          </w:tblCellMar>
        </w:tblPrEx>
        <w:trPr>
          <w:trHeight w:val="1282" w:hRule="atLeast"/>
          <w:jc w:val="center"/>
        </w:trPr>
        <w:tc>
          <w:tcPr>
            <w:tcW w:w="1858" w:type="dxa"/>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default" w:ascii="方正仿宋_GBK" w:hAnsi="方正仿宋_GBK" w:eastAsia="方正仿宋_GBK" w:cs="方正仿宋_GBK"/>
                <w:sz w:val="21"/>
                <w:szCs w:val="21"/>
              </w:rPr>
              <w:t>每季度</w:t>
            </w:r>
            <w:r>
              <w:rPr>
                <w:rFonts w:hint="eastAsia" w:ascii="方正仿宋_GBK" w:hAnsi="方正仿宋_GBK" w:eastAsia="方正仿宋_GBK" w:cs="方正仿宋_GBK"/>
                <w:sz w:val="21"/>
                <w:szCs w:val="21"/>
              </w:rPr>
              <w:t>现场</w:t>
            </w:r>
            <w:r>
              <w:rPr>
                <w:rFonts w:hint="default" w:ascii="方正仿宋_GBK" w:hAnsi="方正仿宋_GBK" w:eastAsia="方正仿宋_GBK" w:cs="方正仿宋_GBK"/>
                <w:sz w:val="21"/>
                <w:szCs w:val="21"/>
              </w:rPr>
              <w:t>断电</w:t>
            </w:r>
            <w:r>
              <w:rPr>
                <w:rFonts w:hint="eastAsia" w:ascii="方正仿宋_GBK" w:hAnsi="方正仿宋_GBK" w:eastAsia="方正仿宋_GBK" w:cs="方正仿宋_GBK"/>
                <w:sz w:val="21"/>
                <w:szCs w:val="21"/>
              </w:rPr>
              <w:t>演练支撑服务、技术咨询服务、年度决算支撑服务。</w:t>
            </w:r>
          </w:p>
        </w:tc>
        <w:tc>
          <w:tcPr>
            <w:tcW w:w="1275" w:type="dxa"/>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c>
          <w:tcPr>
            <w:tcW w:w="2787" w:type="dxa"/>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1571" w:hRule="atLeast"/>
          <w:jc w:val="center"/>
        </w:trPr>
        <w:tc>
          <w:tcPr>
            <w:tcW w:w="1858" w:type="dxa"/>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default" w:ascii="方正仿宋_GBK" w:hAnsi="方正仿宋_GBK" w:eastAsia="方正仿宋_GBK" w:cs="方正仿宋_GBK"/>
                <w:sz w:val="21"/>
                <w:szCs w:val="21"/>
              </w:rPr>
              <w:t>三个数据中心柴发系统维保期内每季度定期上门巡检及维护保养</w:t>
            </w:r>
            <w:r>
              <w:rPr>
                <w:rFonts w:hint="eastAsia" w:ascii="方正仿宋_GBK" w:hAnsi="方正仿宋_GBK" w:eastAsia="方正仿宋_GBK" w:cs="方正仿宋_GBK"/>
                <w:sz w:val="21"/>
                <w:szCs w:val="21"/>
              </w:rPr>
              <w:t>。</w:t>
            </w:r>
          </w:p>
        </w:tc>
        <w:tc>
          <w:tcPr>
            <w:tcW w:w="1275" w:type="dxa"/>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c>
          <w:tcPr>
            <w:tcW w:w="2787" w:type="dxa"/>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bl>
    <w:p>
      <w:pPr>
        <w:spacing w:line="5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二</w:t>
      </w:r>
      <w:r>
        <w:rPr>
          <w:rFonts w:hint="eastAsia" w:ascii="方正仿宋_GBK" w:hAnsi="方正仿宋_GBK" w:eastAsia="方正仿宋_GBK" w:cs="方正仿宋_GBK"/>
          <w:sz w:val="21"/>
          <w:szCs w:val="21"/>
        </w:rPr>
        <w:t>）服务周期：202</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月1日-202</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年12月31日</w:t>
      </w:r>
    </w:p>
    <w:p>
      <w:pPr>
        <w:pStyle w:val="6"/>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二、</w:t>
      </w:r>
      <w:r>
        <w:rPr>
          <w:rFonts w:hint="eastAsia" w:ascii="方正仿宋_GBK" w:hAnsi="方正仿宋_GBK" w:eastAsia="方正仿宋_GBK" w:cs="方正仿宋_GBK"/>
          <w:b w:val="0"/>
          <w:bCs w:val="0"/>
          <w:sz w:val="21"/>
          <w:szCs w:val="21"/>
        </w:rPr>
        <w:t>检查维护内容及要求</w:t>
      </w:r>
    </w:p>
    <w:p>
      <w:pPr>
        <w:pStyle w:val="6"/>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bCs w:val="0"/>
          <w:sz w:val="21"/>
          <w:szCs w:val="21"/>
          <w:lang w:val="en-US" w:eastAsia="zh-CN"/>
        </w:rPr>
        <w:t>1、</w:t>
      </w:r>
      <w:r>
        <w:rPr>
          <w:rFonts w:hint="eastAsia" w:ascii="方正仿宋_GBK" w:hAnsi="方正仿宋_GBK" w:eastAsia="方正仿宋_GBK" w:cs="方正仿宋_GBK"/>
          <w:b/>
          <w:bCs/>
          <w:sz w:val="21"/>
          <w:szCs w:val="21"/>
          <w:lang w:val="en-US" w:eastAsia="zh-CN"/>
        </w:rPr>
        <w:t>基本要求</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sz w:val="21"/>
          <w:szCs w:val="21"/>
        </w:rPr>
        <w:t>对发电机组提供设备维保服务，包括</w:t>
      </w:r>
      <w:r>
        <w:rPr>
          <w:rFonts w:hint="eastAsia" w:ascii="方正仿宋_GBK" w:hAnsi="方正仿宋_GBK" w:eastAsia="方正仿宋_GBK" w:cs="方正仿宋_GBK"/>
          <w:sz w:val="21"/>
          <w:szCs w:val="21"/>
          <w:lang w:val="en-US" w:eastAsia="zh-CN"/>
        </w:rPr>
        <w:t>每季度</w:t>
      </w:r>
      <w:r>
        <w:rPr>
          <w:rFonts w:hint="eastAsia" w:ascii="方正仿宋_GBK" w:hAnsi="方正仿宋_GBK" w:eastAsia="方正仿宋_GBK" w:cs="方正仿宋_GBK"/>
          <w:sz w:val="21"/>
          <w:szCs w:val="21"/>
        </w:rPr>
        <w:t>基本维保服务与</w:t>
      </w:r>
      <w:r>
        <w:rPr>
          <w:rFonts w:hint="eastAsia" w:ascii="方正仿宋_GBK" w:hAnsi="方正仿宋_GBK" w:eastAsia="方正仿宋_GBK" w:cs="方正仿宋_GBK"/>
          <w:sz w:val="21"/>
          <w:szCs w:val="21"/>
          <w:lang w:val="en-US" w:eastAsia="zh-CN"/>
        </w:rPr>
        <w:t>每年一次</w:t>
      </w:r>
      <w:r>
        <w:rPr>
          <w:rFonts w:hint="eastAsia" w:ascii="方正仿宋_GBK" w:hAnsi="方正仿宋_GBK" w:eastAsia="方正仿宋_GBK" w:cs="方正仿宋_GBK"/>
          <w:sz w:val="21"/>
          <w:szCs w:val="21"/>
        </w:rPr>
        <w:t>深度维保服务，</w:t>
      </w:r>
      <w:r>
        <w:rPr>
          <w:rFonts w:hint="eastAsia" w:ascii="方正仿宋_GBK" w:hAnsi="方正仿宋_GBK" w:eastAsia="方正仿宋_GBK" w:cs="方正仿宋_GBK"/>
          <w:sz w:val="21"/>
          <w:szCs w:val="21"/>
          <w:lang w:val="en-US" w:eastAsia="zh-CN"/>
        </w:rPr>
        <w:t>深度维保服务</w:t>
      </w:r>
      <w:r>
        <w:rPr>
          <w:rFonts w:hint="eastAsia" w:ascii="方正仿宋_GBK" w:hAnsi="方正仿宋_GBK" w:eastAsia="方正仿宋_GBK" w:cs="方正仿宋_GBK"/>
          <w:sz w:val="21"/>
          <w:szCs w:val="21"/>
        </w:rPr>
        <w:t>包括一次相应机组的日常三滤更换、机油、防冻液、启动蓄电池（14块200AH免维护发电机组专用蓄电池）的更换以及机组的维护、现场演练的支撑服务、技术咨询服务和年度决算技术支撑服务等。</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工作内容：</w:t>
      </w:r>
      <w:r>
        <w:rPr>
          <w:rFonts w:hint="eastAsia" w:ascii="方正仿宋_GBK" w:hAnsi="方正仿宋_GBK" w:eastAsia="方正仿宋_GBK" w:cs="方正仿宋_GBK"/>
          <w:sz w:val="21"/>
          <w:szCs w:val="21"/>
        </w:rPr>
        <w:t>针对纳入维保的发电机</w:t>
      </w:r>
      <w:r>
        <w:rPr>
          <w:rFonts w:hint="eastAsia" w:ascii="方正仿宋_GBK" w:hAnsi="方正仿宋_GBK" w:eastAsia="方正仿宋_GBK" w:cs="方正仿宋_GBK"/>
          <w:snapToGrid w:val="0"/>
          <w:kern w:val="0"/>
          <w:sz w:val="21"/>
          <w:szCs w:val="21"/>
        </w:rPr>
        <w:t>及外围辅助</w:t>
      </w:r>
      <w:r>
        <w:rPr>
          <w:rFonts w:hint="eastAsia" w:ascii="方正仿宋_GBK" w:hAnsi="方正仿宋_GBK" w:eastAsia="方正仿宋_GBK" w:cs="方正仿宋_GBK"/>
          <w:sz w:val="21"/>
          <w:szCs w:val="21"/>
        </w:rPr>
        <w:t>（含室内日用油箱、油泵、管路、配电柜、进排风降噪系统、排烟系统、风机启动系统、启动电池及接入装置、水套加热器装置、发电机辅助配电屏、发电机并机系统、发电机自启动系统、市电/发电机逐级投切系统）等设备</w:t>
      </w:r>
      <w:r>
        <w:rPr>
          <w:rFonts w:hint="eastAsia" w:ascii="方正仿宋_GBK" w:hAnsi="方正仿宋_GBK" w:eastAsia="方正仿宋_GBK" w:cs="方正仿宋_GBK"/>
          <w:snapToGrid w:val="0"/>
          <w:kern w:val="0"/>
          <w:sz w:val="21"/>
          <w:szCs w:val="21"/>
        </w:rPr>
        <w:t>进行阶段性维护，频次为：系统检查1次/</w:t>
      </w:r>
      <w:r>
        <w:rPr>
          <w:rFonts w:hint="eastAsia" w:ascii="方正仿宋_GBK" w:hAnsi="方正仿宋_GBK" w:eastAsia="方正仿宋_GBK" w:cs="方正仿宋_GBK"/>
          <w:snapToGrid w:val="0"/>
          <w:kern w:val="0"/>
          <w:sz w:val="21"/>
          <w:szCs w:val="21"/>
          <w:lang w:val="en-US" w:eastAsia="zh-CN"/>
        </w:rPr>
        <w:t>季</w:t>
      </w:r>
      <w:r>
        <w:rPr>
          <w:rFonts w:hint="eastAsia" w:ascii="方正仿宋_GBK" w:hAnsi="方正仿宋_GBK" w:eastAsia="方正仿宋_GBK" w:cs="方正仿宋_GBK"/>
          <w:snapToGrid w:val="0"/>
          <w:kern w:val="0"/>
          <w:sz w:val="21"/>
          <w:szCs w:val="21"/>
        </w:rPr>
        <w:t>/台、发电机清洁检查1次/</w:t>
      </w:r>
      <w:r>
        <w:rPr>
          <w:rFonts w:hint="eastAsia" w:ascii="方正仿宋_GBK" w:hAnsi="方正仿宋_GBK" w:eastAsia="方正仿宋_GBK" w:cs="方正仿宋_GBK"/>
          <w:snapToGrid w:val="0"/>
          <w:kern w:val="0"/>
          <w:sz w:val="21"/>
          <w:szCs w:val="21"/>
          <w:lang w:val="en-US" w:eastAsia="zh-CN"/>
        </w:rPr>
        <w:t>季</w:t>
      </w:r>
      <w:r>
        <w:rPr>
          <w:rFonts w:hint="eastAsia" w:ascii="方正仿宋_GBK" w:hAnsi="方正仿宋_GBK" w:eastAsia="方正仿宋_GBK" w:cs="方正仿宋_GBK"/>
          <w:snapToGrid w:val="0"/>
          <w:kern w:val="0"/>
          <w:sz w:val="21"/>
          <w:szCs w:val="21"/>
        </w:rPr>
        <w:t>/台、空载试机1次/</w:t>
      </w:r>
      <w:r>
        <w:rPr>
          <w:rFonts w:hint="eastAsia" w:ascii="方正仿宋_GBK" w:hAnsi="方正仿宋_GBK" w:eastAsia="方正仿宋_GBK" w:cs="方正仿宋_GBK"/>
          <w:snapToGrid w:val="0"/>
          <w:kern w:val="0"/>
          <w:sz w:val="21"/>
          <w:szCs w:val="21"/>
          <w:lang w:val="en-US" w:eastAsia="zh-CN"/>
        </w:rPr>
        <w:t>季</w:t>
      </w:r>
      <w:r>
        <w:rPr>
          <w:rFonts w:hint="eastAsia" w:ascii="方正仿宋_GBK" w:hAnsi="方正仿宋_GBK" w:eastAsia="方正仿宋_GBK" w:cs="方正仿宋_GBK"/>
          <w:snapToGrid w:val="0"/>
          <w:kern w:val="0"/>
          <w:sz w:val="21"/>
          <w:szCs w:val="21"/>
        </w:rPr>
        <w:t>、发电机房环境清洁1次/</w:t>
      </w:r>
      <w:r>
        <w:rPr>
          <w:rFonts w:hint="eastAsia" w:ascii="方正仿宋_GBK" w:hAnsi="方正仿宋_GBK" w:eastAsia="方正仿宋_GBK" w:cs="方正仿宋_GBK"/>
          <w:snapToGrid w:val="0"/>
          <w:kern w:val="0"/>
          <w:sz w:val="21"/>
          <w:szCs w:val="21"/>
          <w:lang w:val="en-US" w:eastAsia="zh-CN"/>
        </w:rPr>
        <w:t>季</w:t>
      </w:r>
      <w:r>
        <w:rPr>
          <w:rFonts w:hint="eastAsia" w:ascii="方正仿宋_GBK" w:hAnsi="方正仿宋_GBK" w:eastAsia="方正仿宋_GBK" w:cs="方正仿宋_GBK"/>
          <w:snapToGrid w:val="0"/>
          <w:kern w:val="0"/>
          <w:sz w:val="21"/>
          <w:szCs w:val="21"/>
        </w:rPr>
        <w:t>，发电机供电系统配电设备检查和清洁1次/</w:t>
      </w:r>
      <w:r>
        <w:rPr>
          <w:rFonts w:hint="eastAsia" w:ascii="方正仿宋_GBK" w:hAnsi="方正仿宋_GBK" w:eastAsia="方正仿宋_GBK" w:cs="方正仿宋_GBK"/>
          <w:snapToGrid w:val="0"/>
          <w:kern w:val="0"/>
          <w:sz w:val="21"/>
          <w:szCs w:val="21"/>
          <w:lang w:val="en-US" w:eastAsia="zh-CN"/>
        </w:rPr>
        <w:t>季</w:t>
      </w:r>
      <w:r>
        <w:rPr>
          <w:rFonts w:hint="eastAsia" w:ascii="方正仿宋_GBK" w:hAnsi="方正仿宋_GBK" w:eastAsia="方正仿宋_GBK" w:cs="方正仿宋_GBK"/>
          <w:snapToGrid w:val="0"/>
          <w:kern w:val="0"/>
          <w:sz w:val="21"/>
          <w:szCs w:val="21"/>
        </w:rPr>
        <w:t>，供油系统日常检查管理1次/</w:t>
      </w:r>
      <w:r>
        <w:rPr>
          <w:rFonts w:hint="eastAsia" w:ascii="方正仿宋_GBK" w:hAnsi="方正仿宋_GBK" w:eastAsia="方正仿宋_GBK" w:cs="方正仿宋_GBK"/>
          <w:snapToGrid w:val="0"/>
          <w:kern w:val="0"/>
          <w:sz w:val="21"/>
          <w:szCs w:val="21"/>
          <w:lang w:val="en-US" w:eastAsia="zh-CN"/>
        </w:rPr>
        <w:t>季</w:t>
      </w:r>
      <w:r>
        <w:rPr>
          <w:rFonts w:hint="eastAsia" w:ascii="方正仿宋_GBK" w:hAnsi="方正仿宋_GBK" w:eastAsia="方正仿宋_GBK" w:cs="方正仿宋_GBK"/>
          <w:snapToGrid w:val="0"/>
          <w:kern w:val="0"/>
          <w:sz w:val="21"/>
          <w:szCs w:val="21"/>
        </w:rPr>
        <w:t>（含室内日用油箱、管路、油泵等），发电机并机控制屏及发电机自动化控制系统日常维护管理1次/</w:t>
      </w:r>
      <w:r>
        <w:rPr>
          <w:rFonts w:hint="eastAsia" w:ascii="方正仿宋_GBK" w:hAnsi="方正仿宋_GBK" w:eastAsia="方正仿宋_GBK" w:cs="方正仿宋_GBK"/>
          <w:snapToGrid w:val="0"/>
          <w:kern w:val="0"/>
          <w:sz w:val="21"/>
          <w:szCs w:val="21"/>
          <w:lang w:val="en-US" w:eastAsia="zh-CN"/>
        </w:rPr>
        <w:t>季</w:t>
      </w:r>
      <w:r>
        <w:rPr>
          <w:rFonts w:hint="eastAsia" w:ascii="方正仿宋_GBK" w:hAnsi="方正仿宋_GBK" w:eastAsia="方正仿宋_GBK" w:cs="方正仿宋_GBK"/>
          <w:snapToGrid w:val="0"/>
          <w:kern w:val="0"/>
          <w:sz w:val="21"/>
          <w:szCs w:val="21"/>
        </w:rPr>
        <w:t>。一次相应机组的</w:t>
      </w:r>
      <w:r>
        <w:rPr>
          <w:rFonts w:hint="eastAsia" w:ascii="方正仿宋_GBK" w:hAnsi="方正仿宋_GBK" w:eastAsia="方正仿宋_GBK" w:cs="方正仿宋_GBK"/>
          <w:sz w:val="21"/>
          <w:szCs w:val="21"/>
        </w:rPr>
        <w:t>机油及三滤更换，防冻液更换，故障抢修及应急保障工作。</w:t>
      </w:r>
    </w:p>
    <w:p>
      <w:pPr>
        <w:spacing w:line="54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发电系统维护要求和周期需严格按照“表1”执行，并在检查记录中显示，需定期汇总提交检查维护记录备查。</w:t>
      </w: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表1：</w:t>
      </w:r>
    </w:p>
    <w:tbl>
      <w:tblPr>
        <w:tblStyle w:val="43"/>
        <w:tblW w:w="8790"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640"/>
        <w:gridCol w:w="6157"/>
        <w:gridCol w:w="993"/>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1640" w:type="dxa"/>
            <w:tcBorders>
              <w:top w:val="single" w:color="auto" w:sz="4" w:space="0"/>
            </w:tcBorders>
            <w:shd w:val="clear" w:color="auto" w:fill="FFFFFF"/>
            <w:vAlign w:val="center"/>
          </w:tcPr>
          <w:p>
            <w:pPr>
              <w:widowControl/>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设备类别</w:t>
            </w:r>
          </w:p>
        </w:tc>
        <w:tc>
          <w:tcPr>
            <w:tcW w:w="6157" w:type="dxa"/>
            <w:tcBorders>
              <w:top w:val="single" w:color="auto" w:sz="4" w:space="0"/>
            </w:tcBorders>
            <w:shd w:val="clear" w:color="auto" w:fill="FFFFFF"/>
            <w:vAlign w:val="center"/>
          </w:tcPr>
          <w:p>
            <w:pPr>
              <w:widowControl/>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维护检测项目</w:t>
            </w:r>
          </w:p>
        </w:tc>
        <w:tc>
          <w:tcPr>
            <w:tcW w:w="993" w:type="dxa"/>
            <w:tcBorders>
              <w:top w:val="single" w:color="auto" w:sz="4" w:space="0"/>
            </w:tcBorders>
            <w:shd w:val="clear" w:color="auto" w:fill="FFFFFF"/>
            <w:vAlign w:val="center"/>
          </w:tcPr>
          <w:p>
            <w:pPr>
              <w:widowControl/>
              <w:jc w:val="center"/>
              <w:rPr>
                <w:rFonts w:hint="eastAsia"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周期</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1640" w:type="dxa"/>
            <w:vMerge w:val="restart"/>
            <w:tcBorders>
              <w:tl2br w:val="nil"/>
              <w:tr2bl w:val="nil"/>
            </w:tcBorders>
            <w:shd w:val="clear" w:color="auto" w:fill="FFFFFF"/>
            <w:vAlign w:val="center"/>
          </w:tcPr>
          <w:p>
            <w:pPr>
              <w:widowControl/>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柴油发电机组</w:t>
            </w: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1.空载试机5~10min；</w:t>
            </w:r>
          </w:p>
        </w:tc>
        <w:tc>
          <w:tcPr>
            <w:tcW w:w="993" w:type="dxa"/>
            <w:vMerge w:val="restart"/>
            <w:tcBorders>
              <w:tl2br w:val="nil"/>
              <w:tr2bl w:val="nil"/>
            </w:tcBorders>
            <w:shd w:val="clear" w:color="auto" w:fill="FFFFFF"/>
            <w:vAlign w:val="center"/>
          </w:tcPr>
          <w:p>
            <w:pPr>
              <w:widowControl/>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val="en-US" w:eastAsia="zh-CN"/>
              </w:rPr>
              <w:t>季度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1640" w:type="dxa"/>
            <w:vMerge w:val="continue"/>
            <w:tcBorders>
              <w:tl2br w:val="nil"/>
              <w:tr2bl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2.设备运行环境检查；</w:t>
            </w:r>
          </w:p>
        </w:tc>
        <w:tc>
          <w:tcPr>
            <w:tcW w:w="993" w:type="dxa"/>
            <w:vMerge w:val="continue"/>
            <w:tcBorders>
              <w:tl2br w:val="nil"/>
              <w:tr2bl w:val="nil"/>
            </w:tcBorders>
            <w:shd w:val="clear" w:color="auto" w:fill="FFFFFF"/>
            <w:vAlign w:val="center"/>
          </w:tcPr>
          <w:p>
            <w:pPr>
              <w:jc w:val="center"/>
              <w:rPr>
                <w:rFonts w:hint="eastAsia" w:ascii="方正仿宋_GBK" w:hAnsi="方正仿宋_GBK" w:eastAsia="方正仿宋_GBK" w:cs="方正仿宋_GBK"/>
                <w:color w:val="000000"/>
                <w:sz w:val="21"/>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0" w:hRule="atLeast"/>
          <w:jc w:val="center"/>
        </w:trPr>
        <w:tc>
          <w:tcPr>
            <w:tcW w:w="1640" w:type="dxa"/>
            <w:vMerge w:val="continue"/>
            <w:tcBorders>
              <w:tl2br w:val="nil"/>
              <w:tr2bl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3.燃油系统渗漏、剩余油料、油水分离器检查；</w:t>
            </w:r>
          </w:p>
        </w:tc>
        <w:tc>
          <w:tcPr>
            <w:tcW w:w="993" w:type="dxa"/>
            <w:vMerge w:val="continue"/>
            <w:tcBorders>
              <w:tl2br w:val="nil"/>
              <w:tr2bl w:val="nil"/>
            </w:tcBorders>
            <w:shd w:val="clear" w:color="auto" w:fill="FFFFFF"/>
            <w:vAlign w:val="center"/>
          </w:tcPr>
          <w:p>
            <w:pPr>
              <w:jc w:val="center"/>
              <w:rPr>
                <w:rFonts w:hint="eastAsia" w:ascii="方正仿宋_GBK" w:hAnsi="方正仿宋_GBK" w:eastAsia="方正仿宋_GBK" w:cs="方正仿宋_GBK"/>
                <w:color w:val="000000"/>
                <w:sz w:val="21"/>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0" w:hRule="atLeast"/>
          <w:jc w:val="center"/>
        </w:trPr>
        <w:tc>
          <w:tcPr>
            <w:tcW w:w="1640" w:type="dxa"/>
            <w:vMerge w:val="continue"/>
            <w:tcBorders>
              <w:tl2br w:val="nil"/>
              <w:tr2bl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4.润滑系统机油液位、油质及机组运行时间检查；</w:t>
            </w:r>
          </w:p>
        </w:tc>
        <w:tc>
          <w:tcPr>
            <w:tcW w:w="993" w:type="dxa"/>
            <w:vMerge w:val="continue"/>
            <w:tcBorders>
              <w:tl2br w:val="nil"/>
              <w:tr2bl w:val="nil"/>
            </w:tcBorders>
            <w:shd w:val="clear" w:color="auto" w:fill="FFFFFF"/>
            <w:vAlign w:val="center"/>
          </w:tcPr>
          <w:p>
            <w:pPr>
              <w:jc w:val="center"/>
              <w:rPr>
                <w:rFonts w:hint="eastAsia" w:ascii="方正仿宋_GBK" w:hAnsi="方正仿宋_GBK" w:eastAsia="方正仿宋_GBK" w:cs="方正仿宋_GBK"/>
                <w:color w:val="000000"/>
                <w:sz w:val="21"/>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80" w:hRule="atLeast"/>
          <w:jc w:val="center"/>
        </w:trPr>
        <w:tc>
          <w:tcPr>
            <w:tcW w:w="1640" w:type="dxa"/>
            <w:vMerge w:val="continue"/>
            <w:tcBorders>
              <w:tl2br w:val="nil"/>
              <w:tr2bl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5.冷却系统散热风扇检查、进/排风功能测试、风机系统测试、冷却液加热功能及液位检查；</w:t>
            </w:r>
          </w:p>
        </w:tc>
        <w:tc>
          <w:tcPr>
            <w:tcW w:w="993" w:type="dxa"/>
            <w:vMerge w:val="continue"/>
            <w:tcBorders>
              <w:tl2br w:val="nil"/>
              <w:tr2bl w:val="nil"/>
            </w:tcBorders>
            <w:shd w:val="clear" w:color="auto" w:fill="FFFFFF"/>
            <w:vAlign w:val="center"/>
          </w:tcPr>
          <w:p>
            <w:pPr>
              <w:jc w:val="center"/>
              <w:rPr>
                <w:rFonts w:hint="eastAsia" w:ascii="方正仿宋_GBK" w:hAnsi="方正仿宋_GBK" w:eastAsia="方正仿宋_GBK" w:cs="方正仿宋_GBK"/>
                <w:color w:val="000000"/>
                <w:sz w:val="21"/>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10" w:hRule="atLeast"/>
          <w:jc w:val="center"/>
        </w:trPr>
        <w:tc>
          <w:tcPr>
            <w:tcW w:w="1640" w:type="dxa"/>
            <w:vMerge w:val="continue"/>
            <w:tcBorders>
              <w:tl2br w:val="nil"/>
              <w:tr2bl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6.直流电气系统蓄电池电压、紧固检查，充电机工作状态检查；</w:t>
            </w:r>
          </w:p>
        </w:tc>
        <w:tc>
          <w:tcPr>
            <w:tcW w:w="993" w:type="dxa"/>
            <w:vMerge w:val="continue"/>
            <w:tcBorders>
              <w:tl2br w:val="nil"/>
              <w:tr2bl w:val="nil"/>
            </w:tcBorders>
            <w:shd w:val="clear" w:color="auto" w:fill="FFFFFF"/>
            <w:vAlign w:val="center"/>
          </w:tcPr>
          <w:p>
            <w:pPr>
              <w:jc w:val="center"/>
              <w:rPr>
                <w:rFonts w:hint="eastAsia" w:ascii="方正仿宋_GBK" w:hAnsi="方正仿宋_GBK" w:eastAsia="方正仿宋_GBK" w:cs="方正仿宋_GBK"/>
                <w:color w:val="000000"/>
                <w:sz w:val="21"/>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50" w:hRule="atLeast"/>
          <w:jc w:val="center"/>
        </w:trPr>
        <w:tc>
          <w:tcPr>
            <w:tcW w:w="1640" w:type="dxa"/>
            <w:vMerge w:val="continue"/>
            <w:tcBorders>
              <w:tl2br w:val="nil"/>
              <w:tr2bl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7.控制及交流电气系统检查，机组报警及控制状态确认，中性点接地确认，并机控制及配电系统检查；</w:t>
            </w:r>
          </w:p>
        </w:tc>
        <w:tc>
          <w:tcPr>
            <w:tcW w:w="993" w:type="dxa"/>
            <w:vMerge w:val="continue"/>
            <w:tcBorders>
              <w:tl2br w:val="nil"/>
              <w:tr2bl w:val="nil"/>
            </w:tcBorders>
            <w:shd w:val="clear" w:color="auto" w:fill="FFFFFF"/>
            <w:vAlign w:val="center"/>
          </w:tcPr>
          <w:p>
            <w:pPr>
              <w:jc w:val="center"/>
              <w:rPr>
                <w:rFonts w:hint="eastAsia" w:ascii="方正仿宋_GBK" w:hAnsi="方正仿宋_GBK" w:eastAsia="方正仿宋_GBK" w:cs="方正仿宋_GBK"/>
                <w:color w:val="000000"/>
                <w:sz w:val="21"/>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10" w:hRule="atLeast"/>
          <w:jc w:val="center"/>
        </w:trPr>
        <w:tc>
          <w:tcPr>
            <w:tcW w:w="1640" w:type="dxa"/>
            <w:vMerge w:val="continue"/>
            <w:tcBorders>
              <w:tl2br w:val="nil"/>
              <w:tr2bl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8.发动机系统支架情况检查，空气滤清器清洁情况检查；</w:t>
            </w:r>
          </w:p>
        </w:tc>
        <w:tc>
          <w:tcPr>
            <w:tcW w:w="993" w:type="dxa"/>
            <w:vMerge w:val="continue"/>
            <w:tcBorders>
              <w:tl2br w:val="nil"/>
              <w:tr2bl w:val="nil"/>
            </w:tcBorders>
            <w:shd w:val="clear" w:color="auto" w:fill="FFFFFF"/>
            <w:vAlign w:val="center"/>
          </w:tcPr>
          <w:p>
            <w:pPr>
              <w:jc w:val="center"/>
              <w:rPr>
                <w:rFonts w:hint="eastAsia" w:ascii="方正仿宋_GBK" w:hAnsi="方正仿宋_GBK" w:eastAsia="方正仿宋_GBK" w:cs="方正仿宋_GBK"/>
                <w:color w:val="000000"/>
                <w:sz w:val="21"/>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40" w:type="dxa"/>
            <w:vMerge w:val="continue"/>
            <w:tcBorders>
              <w:tl2br w:val="nil"/>
              <w:tr2bl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9.机组控制器以及并机系统外观检查，并机系统及二次线检查，接触器功能检查；</w:t>
            </w:r>
          </w:p>
        </w:tc>
        <w:tc>
          <w:tcPr>
            <w:tcW w:w="993" w:type="dxa"/>
            <w:vMerge w:val="continue"/>
            <w:tcBorders>
              <w:tl2br w:val="nil"/>
              <w:tr2bl w:val="nil"/>
            </w:tcBorders>
            <w:shd w:val="clear" w:color="auto" w:fill="FFFFFF"/>
            <w:vAlign w:val="center"/>
          </w:tcPr>
          <w:p>
            <w:pPr>
              <w:jc w:val="center"/>
              <w:rPr>
                <w:rFonts w:hint="eastAsia" w:ascii="方正仿宋_GBK" w:hAnsi="方正仿宋_GBK" w:eastAsia="方正仿宋_GBK" w:cs="方正仿宋_GBK"/>
                <w:color w:val="000000"/>
                <w:sz w:val="21"/>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40" w:type="dxa"/>
            <w:vMerge w:val="continue"/>
            <w:tcBorders>
              <w:bottom w:val="nil"/>
              <w:tl2br w:val="nil"/>
              <w:tr2bl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10.检查发电机室的进风、排风风道是否畅通，进排风消音片是否正常</w:t>
            </w:r>
            <w:r>
              <w:rPr>
                <w:rFonts w:hint="eastAsia" w:ascii="方正仿宋_GBK" w:hAnsi="方正仿宋_GBK" w:eastAsia="方正仿宋_GBK" w:cs="方正仿宋_GBK"/>
                <w:color w:val="000000"/>
                <w:sz w:val="21"/>
                <w:szCs w:val="21"/>
                <w:lang w:eastAsia="zh-CN"/>
              </w:rPr>
              <w:t>；</w:t>
            </w:r>
          </w:p>
        </w:tc>
        <w:tc>
          <w:tcPr>
            <w:tcW w:w="993" w:type="dxa"/>
            <w:vMerge w:val="continue"/>
            <w:tcBorders>
              <w:bottom w:val="nil"/>
              <w:tl2br w:val="nil"/>
              <w:tr2bl w:val="nil"/>
            </w:tcBorders>
            <w:shd w:val="clear" w:color="auto" w:fill="FFFFFF"/>
            <w:vAlign w:val="center"/>
          </w:tcPr>
          <w:p>
            <w:pPr>
              <w:widowControl/>
              <w:jc w:val="center"/>
              <w:rPr>
                <w:rFonts w:hint="eastAsia" w:ascii="方正仿宋_GBK" w:hAnsi="方正仿宋_GBK" w:eastAsia="方正仿宋_GBK" w:cs="方正仿宋_GBK"/>
                <w:color w:val="000000"/>
                <w:sz w:val="21"/>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40" w:type="dxa"/>
            <w:tcBorders>
              <w:top w:val="nil"/>
            </w:tcBorders>
            <w:shd w:val="clear" w:color="auto" w:fill="FFFFFF"/>
            <w:vAlign w:val="center"/>
          </w:tcPr>
          <w:p>
            <w:pPr>
              <w:widowControl/>
              <w:jc w:val="left"/>
              <w:rPr>
                <w:rFonts w:hint="eastAsia" w:ascii="方正仿宋_GBK" w:hAnsi="方正仿宋_GBK" w:eastAsia="方正仿宋_GBK" w:cs="方正仿宋_GBK"/>
                <w:color w:val="000000"/>
                <w:sz w:val="21"/>
                <w:szCs w:val="21"/>
                <w:lang w:val="en-US" w:eastAsia="zh-CN"/>
              </w:rPr>
            </w:pPr>
          </w:p>
        </w:tc>
        <w:tc>
          <w:tcPr>
            <w:tcW w:w="6157" w:type="dxa"/>
            <w:tcBorders>
              <w:tl2br w:val="nil"/>
              <w:tr2bl w:val="nil"/>
            </w:tcBorders>
            <w:shd w:val="clear" w:color="auto" w:fill="FFFFFF"/>
            <w:vAlign w:val="center"/>
          </w:tcPr>
          <w:p>
            <w:pPr>
              <w:widowControl/>
              <w:spacing w:line="540" w:lineRule="exact"/>
              <w:jc w:val="left"/>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11.断电带载运行。</w:t>
            </w:r>
          </w:p>
        </w:tc>
        <w:tc>
          <w:tcPr>
            <w:tcW w:w="993" w:type="dxa"/>
            <w:tcBorders>
              <w:top w:val="nil"/>
            </w:tcBorders>
            <w:shd w:val="clear" w:color="auto" w:fill="FFFFFF"/>
            <w:vAlign w:val="center"/>
          </w:tcPr>
          <w:p>
            <w:pPr>
              <w:widowControl/>
              <w:jc w:val="center"/>
              <w:rPr>
                <w:rFonts w:hint="eastAsia" w:ascii="方正仿宋_GBK" w:hAnsi="方正仿宋_GBK" w:eastAsia="方正仿宋_GBK" w:cs="方正仿宋_GBK"/>
                <w:color w:val="000000"/>
                <w:sz w:val="21"/>
                <w:szCs w:val="21"/>
                <w:lang w:val="en-US" w:eastAsia="zh-CN"/>
              </w:rPr>
            </w:pPr>
          </w:p>
        </w:tc>
      </w:tr>
    </w:tbl>
    <w:p>
      <w:pPr>
        <w:spacing w:line="540" w:lineRule="exact"/>
        <w:ind w:firstLine="210" w:firstLineChars="1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说明：</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每年对机房发电机组及外围辅助设备开展1次深度维护，并提供深度维护报告，深度维护具体内容除上述巡检内容外，还包括：</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1）机组各项告警功能测试、参数检查及校准；</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2）进排气系统：检查涡轮增压器，叶片应无破损，旋转平稳；检查曲轴箱呼吸器，清洗呼吸器滤网；</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3）燃油系统：检查油水分离器对油水分离器进行清洗，内部有滤网的需更换；</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4）冷却系统：检查节温器，确保发动机达到一定温度后节温器能自动开启；</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5）排烟系统：检查排烟管道（排烟井）室外风雨帽烟道无漏烟，防雨帽安装牢固；</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6）配气机构：进排气门检查，根据运行时间或带载情况判断是否要调节进排气门间隙；</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7）发电机：检查发电机轴承，确保发电机运行平稳，无异响，轴承添加润滑脂；</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8）外围设备：检查油泵、输油管路、阀门无渗漏、无堵塞、无锈蚀；地埋油罐水分检测及处理、锈蚀检查及防锈处理。</w:t>
      </w:r>
    </w:p>
    <w:p>
      <w:pPr>
        <w:pStyle w:val="6"/>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3、</w:t>
      </w:r>
      <w:r>
        <w:rPr>
          <w:rFonts w:hint="eastAsia" w:ascii="方正仿宋_GBK" w:hAnsi="方正仿宋_GBK" w:eastAsia="方正仿宋_GBK" w:cs="方正仿宋_GBK"/>
          <w:b w:val="0"/>
          <w:bCs w:val="0"/>
          <w:sz w:val="21"/>
          <w:szCs w:val="21"/>
        </w:rPr>
        <w:t>现场支撑服务、年度结算支撑保障服务</w:t>
      </w:r>
    </w:p>
    <w:p>
      <w:pPr>
        <w:widowControl/>
        <w:tabs>
          <w:tab w:val="left" w:pos="840"/>
        </w:tabs>
        <w:spacing w:line="540" w:lineRule="exact"/>
        <w:ind w:firstLine="210" w:firstLine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（1）在采购人动力系统割接需要现场技术支持及保障时，需至少保障一名维护人员至现场保障发电机。</w:t>
      </w:r>
    </w:p>
    <w:p>
      <w:pPr>
        <w:widowControl/>
        <w:tabs>
          <w:tab w:val="left" w:pos="840"/>
        </w:tabs>
        <w:spacing w:line="540" w:lineRule="exact"/>
        <w:ind w:firstLine="210" w:firstLine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（2）在国家重要活动、重要节假日、各类大型及重要文体活动或恶劣天气来临之前，应提前对设备进行检查。其中，采购人有权要求应答人在年度结算关账的重要节点驻守一名发电机维护人员。</w:t>
      </w:r>
    </w:p>
    <w:p>
      <w:pPr>
        <w:widowControl/>
        <w:tabs>
          <w:tab w:val="left" w:pos="840"/>
        </w:tabs>
        <w:spacing w:line="540" w:lineRule="exact"/>
        <w:ind w:firstLine="210" w:firstLine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（3）维保范围内发电机系统出现故障，紧急提供维护专家至现场保障及排查原因，确保设备运行正常；</w:t>
      </w:r>
    </w:p>
    <w:p>
      <w:pPr>
        <w:widowControl/>
        <w:tabs>
          <w:tab w:val="left" w:pos="840"/>
        </w:tabs>
        <w:spacing w:line="540" w:lineRule="exact"/>
        <w:ind w:firstLine="210" w:firstLine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en-US" w:eastAsia="zh-CN"/>
        </w:rPr>
        <w:t>配合数据中心断电演练，</w:t>
      </w:r>
      <w:r>
        <w:rPr>
          <w:rFonts w:hint="eastAsia" w:ascii="方正仿宋_GBK" w:hAnsi="方正仿宋_GBK" w:eastAsia="方正仿宋_GBK" w:cs="方正仿宋_GBK"/>
          <w:sz w:val="21"/>
          <w:szCs w:val="21"/>
        </w:rPr>
        <w:t>安排不少于1名发电机技术专家进行现场应急支持。</w:t>
      </w:r>
    </w:p>
    <w:p>
      <w:pPr>
        <w:pStyle w:val="6"/>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4、</w:t>
      </w:r>
      <w:r>
        <w:rPr>
          <w:rFonts w:hint="eastAsia" w:ascii="方正仿宋_GBK" w:hAnsi="方正仿宋_GBK" w:eastAsia="方正仿宋_GBK" w:cs="方正仿宋_GBK"/>
          <w:b w:val="0"/>
          <w:bCs w:val="0"/>
          <w:sz w:val="21"/>
          <w:szCs w:val="21"/>
        </w:rPr>
        <w:t>技术咨询服务</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咨询服务定义：咨询服务指甲方以电话、邮件、书面等形式向乙方提出与网络维护、运行相关的技术问题，乙方负责在约定时间内就买方提出的技术咨询问题向甲方提供的操作性或解释性说明或建议。对于涉及设备本身原因带来的全网性运行隐患或操作维护不便等问题，乙方应主动书面提示甲方，提供恰当的修正建议。</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甲方就涉及现网设备召集的技术方案讨论会、故障分析会等，不包含在技术咨询服务中，乙方应积极协调相关资源予以配合。</w:t>
      </w:r>
    </w:p>
    <w:tbl>
      <w:tblPr>
        <w:tblStyle w:val="43"/>
        <w:tblW w:w="9458" w:type="dxa"/>
        <w:jc w:val="center"/>
        <w:tblLayout w:type="fixed"/>
        <w:tblCellMar>
          <w:top w:w="0" w:type="dxa"/>
          <w:left w:w="108" w:type="dxa"/>
          <w:bottom w:w="0" w:type="dxa"/>
          <w:right w:w="108" w:type="dxa"/>
        </w:tblCellMar>
      </w:tblPr>
      <w:tblGrid>
        <w:gridCol w:w="1838"/>
        <w:gridCol w:w="5397"/>
        <w:gridCol w:w="2223"/>
      </w:tblGrid>
      <w:tr>
        <w:tblPrEx>
          <w:tblCellMar>
            <w:top w:w="0" w:type="dxa"/>
            <w:left w:w="108" w:type="dxa"/>
            <w:bottom w:w="0" w:type="dxa"/>
            <w:right w:w="108" w:type="dxa"/>
          </w:tblCellMar>
        </w:tblPrEx>
        <w:trPr>
          <w:trHeight w:val="270"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服务项目</w:t>
            </w:r>
          </w:p>
        </w:tc>
        <w:tc>
          <w:tcPr>
            <w:tcW w:w="539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项目描述</w:t>
            </w:r>
          </w:p>
        </w:tc>
        <w:tc>
          <w:tcPr>
            <w:tcW w:w="222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210" w:firstLineChars="10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技术咨询处理时限</w:t>
            </w:r>
          </w:p>
        </w:tc>
      </w:tr>
      <w:tr>
        <w:tblPrEx>
          <w:tblCellMar>
            <w:top w:w="0" w:type="dxa"/>
            <w:left w:w="108" w:type="dxa"/>
            <w:bottom w:w="0" w:type="dxa"/>
            <w:right w:w="108" w:type="dxa"/>
          </w:tblCellMar>
        </w:tblPrEx>
        <w:trPr>
          <w:trHeight w:val="537"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远程技术咨询</w:t>
            </w:r>
          </w:p>
        </w:tc>
        <w:tc>
          <w:tcPr>
            <w:tcW w:w="5397"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A.</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t>不涉及现网发电机设备操作的一般级别技术咨询；</w:t>
            </w:r>
          </w:p>
          <w:p>
            <w:pPr>
              <w:spacing w:line="32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B.</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t>现场维护优化人员需要了解的案例手册、技术手册、操作规范等技术资料的索取；</w:t>
            </w:r>
          </w:p>
          <w:p>
            <w:pPr>
              <w:spacing w:line="32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C.</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t>涉及现网发电机设备操作的紧急级别技术咨询；</w:t>
            </w:r>
          </w:p>
          <w:p>
            <w:pPr>
              <w:spacing w:line="32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D.</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t>现场维护员在处理发电机问题过程中遇到的指令提示问题；</w:t>
            </w:r>
          </w:p>
          <w:p>
            <w:pPr>
              <w:spacing w:line="32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E.</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t>现场维护人员在执行日常生产过程中遇到的指令参数解释问题；</w:t>
            </w:r>
          </w:p>
        </w:tc>
        <w:tc>
          <w:tcPr>
            <w:tcW w:w="2223"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210" w:firstLineChars="100"/>
              <w:rPr>
                <w:rFonts w:hint="eastAsia" w:ascii="方正仿宋_GBK" w:hAnsi="方正仿宋_GBK" w:eastAsia="方正仿宋_GBK" w:cs="方正仿宋_GBK"/>
                <w:iCs/>
                <w:sz w:val="21"/>
                <w:szCs w:val="21"/>
              </w:rPr>
            </w:pPr>
            <w:r>
              <w:rPr>
                <w:rFonts w:hint="eastAsia" w:ascii="方正仿宋_GBK" w:hAnsi="方正仿宋_GBK" w:eastAsia="方正仿宋_GBK" w:cs="方正仿宋_GBK"/>
                <w:sz w:val="21"/>
                <w:szCs w:val="21"/>
              </w:rPr>
              <w:t>要求7*24小时处理，初步答复时限为1个自然天，最终答复时限为7个自然天</w:t>
            </w:r>
          </w:p>
        </w:tc>
      </w:tr>
    </w:tbl>
    <w:p>
      <w:pPr>
        <w:pStyle w:val="6"/>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5、</w:t>
      </w:r>
      <w:r>
        <w:rPr>
          <w:rFonts w:hint="eastAsia" w:ascii="方正仿宋_GBK" w:hAnsi="方正仿宋_GBK" w:eastAsia="方正仿宋_GBK" w:cs="方正仿宋_GBK"/>
          <w:b w:val="0"/>
          <w:bCs w:val="0"/>
          <w:sz w:val="21"/>
          <w:szCs w:val="21"/>
        </w:rPr>
        <w:t>维保技术要求</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（1）应答人应向采购人提供维护优化服务。设备在维保期间发现存在隐患或可优化升级的内容，应答人应积极主动地提出整改优化建议并积极配合处理，以提升系统的可靠性、安全性、高效性、操作便捷性。</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（2）应答人需按照要求完成所有周期性检查维护服务、深度维护服务和抢修服务、技术支持。</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（3）应答人每次巡检、维护、修理和抢修任务完成后，应答人应在10个工作日提交工作报告并取得采购人确认。</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（4）年度维保完成后应答人应在10个工作日出具维保工作总结，包括故障维护次数、故障总结报告、巡检报告。</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应答人应提供良好的技术资料服务，为采购人委托维保的发电机设备建立完整规范的用户跟踪档案（包括机历档案、运行维护记录等），每次提供服务的各项记录文档须完整、规范。应答人应根据需要为采购人提供相关设备的技术资料、操作手册、运行维护规范等，常用资料应提供纸质文档。</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（6）在应答人技术人员进行现场服务过程中，如果采购人要求，应答人应就现场服务中故障发生的原因、处理过程、以及类似故障的预防和处理经验与应答人相关人员进行必要的技术交流；</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采购人需要时，应答人需与采购人一起了解采购人业务需求和服务质量要求，确定应急预案的范围与目标，设计提供应急预案，以保证采购人业务的持续性和可用性。双方可共同讨论以完成应急预案设计。应急预案设计完成后双方应共同参与，完成应急预案的演练，以确定其是否满足业务需要和达到设定的恢复目标。</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（8）应答人维护人员需按采购人的维护规程、规章制度与管理要求开展维保工作。</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（9）应答人须满足采购人发出的日常维护、故障修理、应急抢修和技术支持要求。日常巡检及深度维护时发现的故障隐患，须及时汇报采购人，并有效落实应急处置及故障处理。</w:t>
      </w:r>
    </w:p>
    <w:p>
      <w:pPr>
        <w:pStyle w:val="5"/>
        <w:numPr>
          <w:ilvl w:val="1"/>
          <w:numId w:val="0"/>
        </w:numPr>
        <w:ind w:leftChars="0"/>
        <w:rPr>
          <w:rFonts w:hint="eastAsia" w:ascii="方正仿宋_GBK" w:hAnsi="方正仿宋_GBK" w:eastAsia="方正仿宋_GBK" w:cs="方正仿宋_GBK"/>
          <w:b w:val="0"/>
          <w:sz w:val="21"/>
          <w:szCs w:val="21"/>
        </w:rPr>
      </w:pPr>
      <w:r>
        <w:rPr>
          <w:rFonts w:hint="eastAsia" w:ascii="方正仿宋_GBK" w:hAnsi="方正仿宋_GBK" w:eastAsia="方正仿宋_GBK" w:cs="方正仿宋_GBK"/>
          <w:b w:val="0"/>
          <w:sz w:val="21"/>
          <w:szCs w:val="21"/>
          <w:lang w:val="en-US" w:eastAsia="zh-CN"/>
        </w:rPr>
        <w:t>6</w:t>
      </w:r>
      <w:r>
        <w:rPr>
          <w:rFonts w:hint="eastAsia" w:ascii="方正仿宋_GBK" w:hAnsi="方正仿宋_GBK" w:eastAsia="方正仿宋_GBK" w:cs="方正仿宋_GBK"/>
          <w:b w:val="0"/>
          <w:sz w:val="21"/>
          <w:szCs w:val="21"/>
        </w:rPr>
        <w:t>、维保配件要求</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维保所用主要零配件必须采用原厂合格产品，其余辅助材料也须符合国家相关技术规范及发电机系统安全使用条件（提供合格证明）。</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维保提供材料与配件质保期为6个月。</w:t>
      </w:r>
    </w:p>
    <w:p>
      <w:pPr>
        <w:pStyle w:val="5"/>
        <w:numPr>
          <w:ilvl w:val="1"/>
          <w:numId w:val="0"/>
        </w:numPr>
        <w:ind w:leftChars="0"/>
        <w:rPr>
          <w:rFonts w:hint="eastAsia" w:ascii="方正仿宋_GBK" w:hAnsi="方正仿宋_GBK" w:eastAsia="方正仿宋_GBK" w:cs="方正仿宋_GBK"/>
          <w:b w:val="0"/>
          <w:sz w:val="21"/>
          <w:szCs w:val="21"/>
        </w:rPr>
      </w:pPr>
      <w:r>
        <w:rPr>
          <w:rFonts w:hint="eastAsia" w:ascii="方正仿宋_GBK" w:hAnsi="方正仿宋_GBK" w:eastAsia="方正仿宋_GBK" w:cs="方正仿宋_GBK"/>
          <w:b w:val="0"/>
          <w:sz w:val="21"/>
          <w:szCs w:val="21"/>
          <w:lang w:val="en-US" w:eastAsia="zh-CN"/>
        </w:rPr>
        <w:t>三</w:t>
      </w:r>
      <w:r>
        <w:rPr>
          <w:rFonts w:hint="eastAsia" w:ascii="方正仿宋_GBK" w:hAnsi="方正仿宋_GBK" w:eastAsia="方正仿宋_GBK" w:cs="方正仿宋_GBK"/>
          <w:b w:val="0"/>
          <w:sz w:val="21"/>
          <w:szCs w:val="21"/>
        </w:rPr>
        <w:t>、故障处理时限</w:t>
      </w:r>
    </w:p>
    <w:p>
      <w:pPr>
        <w:pStyle w:val="5"/>
        <w:numPr>
          <w:ilvl w:val="1"/>
          <w:numId w:val="0"/>
        </w:numPr>
        <w:ind w:leftChars="0" w:firstLine="422"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现场出现突发故障，服务商须到达现场开始故障处置恢复工作，紧急故障须</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小时内处理并恢复，一般故障须</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小时内处理并恢复。保证如多个机房同时有故障可分派人员同时处理。</w:t>
      </w:r>
    </w:p>
    <w:p>
      <w:pPr>
        <w:pStyle w:val="5"/>
        <w:numPr>
          <w:ilvl w:val="1"/>
          <w:numId w:val="0"/>
        </w:numPr>
        <w:ind w:leftChars="0"/>
        <w:rPr>
          <w:rFonts w:hint="eastAsia" w:ascii="方正仿宋_GBK" w:hAnsi="方正仿宋_GBK" w:eastAsia="方正仿宋_GBK" w:cs="方正仿宋_GBK"/>
          <w:b w:val="0"/>
          <w:sz w:val="21"/>
          <w:szCs w:val="21"/>
        </w:rPr>
      </w:pPr>
      <w:r>
        <w:rPr>
          <w:rFonts w:hint="eastAsia" w:ascii="方正仿宋_GBK" w:hAnsi="方正仿宋_GBK" w:eastAsia="方正仿宋_GBK" w:cs="方正仿宋_GBK"/>
          <w:b w:val="0"/>
          <w:sz w:val="21"/>
          <w:szCs w:val="21"/>
          <w:lang w:val="en-US" w:eastAsia="zh-CN"/>
        </w:rPr>
        <w:t>四</w:t>
      </w:r>
      <w:r>
        <w:rPr>
          <w:rFonts w:hint="eastAsia" w:ascii="方正仿宋_GBK" w:hAnsi="方正仿宋_GBK" w:eastAsia="方正仿宋_GBK" w:cs="方正仿宋_GBK"/>
          <w:b w:val="0"/>
          <w:sz w:val="21"/>
          <w:szCs w:val="21"/>
        </w:rPr>
        <w:t>、组织管理要求</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应答人有完善的维保服务体系及明确的响应、处理、升级、检查等流程。</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应答人针对本项目有完善的维保服务方案和详细的服务操作规范（设备操作流程、维护操作流程和故障应急操作流程）。应答人提供的维护和保障服务应能有效提高采购人发电机组的运行质量，确保维护区域内的发电机组设备，在任何情况下（不可抗力除外）均能稳定、高效、可靠地运行。</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应答人有完善的安全文明生产措施及完善的事故应急处理预案。</w:t>
      </w:r>
    </w:p>
    <w:p>
      <w:pPr>
        <w:pStyle w:val="5"/>
        <w:numPr>
          <w:ilvl w:val="1"/>
          <w:numId w:val="0"/>
        </w:numPr>
        <w:ind w:leftChars="0"/>
        <w:rPr>
          <w:rFonts w:hint="eastAsia" w:ascii="方正仿宋_GBK" w:hAnsi="方正仿宋_GBK" w:eastAsia="方正仿宋_GBK" w:cs="方正仿宋_GBK"/>
          <w:b w:val="0"/>
          <w:sz w:val="21"/>
          <w:szCs w:val="21"/>
        </w:rPr>
      </w:pPr>
      <w:r>
        <w:rPr>
          <w:rFonts w:hint="eastAsia" w:ascii="方正仿宋_GBK" w:hAnsi="方正仿宋_GBK" w:eastAsia="方正仿宋_GBK" w:cs="方正仿宋_GBK"/>
          <w:b w:val="0"/>
          <w:sz w:val="21"/>
          <w:szCs w:val="21"/>
          <w:lang w:val="en-US" w:eastAsia="zh-CN"/>
        </w:rPr>
        <w:t>五</w:t>
      </w:r>
      <w:r>
        <w:rPr>
          <w:rFonts w:hint="eastAsia" w:ascii="方正仿宋_GBK" w:hAnsi="方正仿宋_GBK" w:eastAsia="方正仿宋_GBK" w:cs="方正仿宋_GBK"/>
          <w:b w:val="0"/>
          <w:sz w:val="21"/>
          <w:szCs w:val="21"/>
        </w:rPr>
        <w:t>、维保质量保证及措施</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乙方需提交维保质量保证及措施，其中包含但不限于以下内容：</w:t>
      </w:r>
    </w:p>
    <w:p>
      <w:pPr>
        <w:numPr>
          <w:ilvl w:val="0"/>
          <w:numId w:val="3"/>
        </w:num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提供本项目维保重点、难点分析，制定对应的预案及解决措施；</w:t>
      </w:r>
    </w:p>
    <w:p>
      <w:pPr>
        <w:numPr>
          <w:ilvl w:val="0"/>
          <w:numId w:val="3"/>
        </w:num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故障紧急处理措施；</w:t>
      </w:r>
    </w:p>
    <w:p>
      <w:pPr>
        <w:numPr>
          <w:ilvl w:val="0"/>
          <w:numId w:val="3"/>
        </w:num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现场重大事项故障服务实施方案；</w:t>
      </w:r>
    </w:p>
    <w:p>
      <w:pPr>
        <w:numPr>
          <w:ilvl w:val="0"/>
          <w:numId w:val="3"/>
        </w:num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重大事件预案；</w:t>
      </w:r>
    </w:p>
    <w:p>
      <w:pPr>
        <w:numPr>
          <w:ilvl w:val="0"/>
          <w:numId w:val="3"/>
        </w:num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重大事件支援。</w:t>
      </w:r>
    </w:p>
    <w:p>
      <w:pPr>
        <w:pStyle w:val="5"/>
        <w:numPr>
          <w:ilvl w:val="1"/>
          <w:numId w:val="0"/>
        </w:numPr>
        <w:ind w:leftChars="0"/>
        <w:rPr>
          <w:rFonts w:hint="eastAsia" w:ascii="方正仿宋_GBK" w:hAnsi="方正仿宋_GBK" w:eastAsia="方正仿宋_GBK" w:cs="方正仿宋_GBK"/>
          <w:b w:val="0"/>
          <w:sz w:val="21"/>
          <w:szCs w:val="21"/>
        </w:rPr>
      </w:pPr>
      <w:r>
        <w:rPr>
          <w:rFonts w:hint="eastAsia" w:ascii="方正仿宋_GBK" w:hAnsi="方正仿宋_GBK" w:eastAsia="方正仿宋_GBK" w:cs="方正仿宋_GBK"/>
          <w:b w:val="0"/>
          <w:sz w:val="21"/>
          <w:szCs w:val="21"/>
          <w:lang w:val="en-US" w:eastAsia="zh-CN"/>
        </w:rPr>
        <w:t>六</w:t>
      </w:r>
      <w:r>
        <w:rPr>
          <w:rFonts w:hint="eastAsia" w:ascii="方正仿宋_GBK" w:hAnsi="方正仿宋_GBK" w:eastAsia="方正仿宋_GBK" w:cs="方正仿宋_GBK"/>
          <w:b w:val="0"/>
          <w:sz w:val="21"/>
          <w:szCs w:val="21"/>
        </w:rPr>
        <w:t>、其他相关要求</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 xml:space="preserve">按照采购人的要求，按时保质保量地完成服务内发电机组的检查和周期维护工作，各种维护记录真实、完整。 </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如应答人确实无法处理故障，应答人负责协调发电机原厂，得到原厂的技术支持，直到故障完全修复。其间的相关费用由应答人承担，修复时限同上。</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 xml:space="preserve">维护保障区域内的发电机组设备的每半年同类故障率（同类故障/维护机组数量）不得大于10%。 </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维护保障区域内的每台机房发电机组，维护后30天内不能出现同样故障的重复维修。</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应答人每月的服务响应及时率和故障修复及时率不小于96%。</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 xml:space="preserve">确保维护保障区域内的发电机组的正常运行率随时抽查都不低于100%（属于采购人原因的除外）。 </w:t>
      </w:r>
    </w:p>
    <w:p>
      <w:pPr>
        <w:pStyle w:val="5"/>
        <w:numPr>
          <w:ilvl w:val="1"/>
          <w:numId w:val="0"/>
        </w:numPr>
        <w:ind w:leftChars="0"/>
        <w:rPr>
          <w:rFonts w:hint="eastAsia" w:ascii="方正仿宋_GBK" w:hAnsi="方正仿宋_GBK" w:eastAsia="方正仿宋_GBK" w:cs="方正仿宋_GBK"/>
          <w:b w:val="0"/>
          <w:sz w:val="21"/>
          <w:szCs w:val="21"/>
        </w:rPr>
      </w:pPr>
      <w:r>
        <w:rPr>
          <w:rFonts w:hint="eastAsia" w:ascii="方正仿宋_GBK" w:hAnsi="方正仿宋_GBK" w:eastAsia="方正仿宋_GBK" w:cs="方正仿宋_GBK"/>
          <w:b w:val="0"/>
          <w:sz w:val="21"/>
          <w:szCs w:val="21"/>
        </w:rPr>
        <w:t>八、维护服务质量管理与考核</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1、服务队伍</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乙方（中标方）应为甲方（采购方）配备两名以上熟悉甲方发电机组设备的工程师队伍，该工程师队伍负责完成向甲方提供的相关服务。</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2、服务质量跟踪</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甲方如对乙方所指派工程师的服务不满意（包括技术能力、服务态度等），有权通过书面形式提出撤换该工程师的要求，乙方应无条件予以执行。</w:t>
      </w:r>
    </w:p>
    <w:p>
      <w:pPr>
        <w:spacing w:line="540" w:lineRule="exact"/>
        <w:ind w:firstLine="210" w:firstLineChars="1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3、维保期内服务质量考核</w:t>
      </w:r>
    </w:p>
    <w:tbl>
      <w:tblPr>
        <w:tblStyle w:val="4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276"/>
        <w:gridCol w:w="65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51" w:type="dxa"/>
            <w:tcMar>
              <w:top w:w="15" w:type="dxa"/>
              <w:left w:w="15" w:type="dxa"/>
              <w:bottom w:w="0" w:type="dxa"/>
              <w:right w:w="15" w:type="dxa"/>
            </w:tcMar>
            <w:vAlign w:val="bottom"/>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类别</w:t>
            </w:r>
          </w:p>
        </w:tc>
        <w:tc>
          <w:tcPr>
            <w:tcW w:w="1276" w:type="dxa"/>
            <w:tcMar>
              <w:top w:w="15" w:type="dxa"/>
              <w:left w:w="15" w:type="dxa"/>
              <w:bottom w:w="0" w:type="dxa"/>
              <w:right w:w="15" w:type="dxa"/>
            </w:tcMar>
            <w:vAlign w:val="bottom"/>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服务内容</w:t>
            </w:r>
          </w:p>
        </w:tc>
        <w:tc>
          <w:tcPr>
            <w:tcW w:w="6521" w:type="dxa"/>
            <w:tcMar>
              <w:top w:w="15" w:type="dxa"/>
              <w:left w:w="15" w:type="dxa"/>
              <w:bottom w:w="0" w:type="dxa"/>
              <w:right w:w="15" w:type="dxa"/>
            </w:tcMar>
            <w:vAlign w:val="bottom"/>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评估标准（注：扣分至满100分止）</w:t>
            </w:r>
          </w:p>
        </w:tc>
        <w:tc>
          <w:tcPr>
            <w:tcW w:w="708" w:type="dxa"/>
            <w:tcMar>
              <w:top w:w="15" w:type="dxa"/>
              <w:left w:w="15" w:type="dxa"/>
              <w:bottom w:w="0" w:type="dxa"/>
              <w:right w:w="15" w:type="dxa"/>
            </w:tcMar>
            <w:vAlign w:val="bottom"/>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0" w:hRule="atLeast"/>
          <w:jc w:val="center"/>
        </w:trPr>
        <w:tc>
          <w:tcPr>
            <w:tcW w:w="851" w:type="dxa"/>
            <w:vMerge w:val="restart"/>
            <w:tcMar>
              <w:top w:w="15" w:type="dxa"/>
              <w:left w:w="15" w:type="dxa"/>
              <w:bottom w:w="0" w:type="dxa"/>
              <w:right w:w="15" w:type="dxa"/>
            </w:tcMar>
            <w:vAlign w:val="center"/>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标准服务</w:t>
            </w:r>
          </w:p>
        </w:tc>
        <w:tc>
          <w:tcPr>
            <w:tcW w:w="1276" w:type="dxa"/>
            <w:tcMar>
              <w:top w:w="15" w:type="dxa"/>
              <w:left w:w="15" w:type="dxa"/>
              <w:bottom w:w="0" w:type="dxa"/>
              <w:right w:w="15" w:type="dxa"/>
            </w:tcMar>
            <w:vAlign w:val="center"/>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系统服务</w:t>
            </w:r>
          </w:p>
        </w:tc>
        <w:tc>
          <w:tcPr>
            <w:tcW w:w="6521" w:type="dxa"/>
            <w:tcMar>
              <w:top w:w="15" w:type="dxa"/>
              <w:left w:w="15" w:type="dxa"/>
              <w:bottom w:w="0" w:type="dxa"/>
              <w:right w:w="15" w:type="dxa"/>
            </w:tcMar>
            <w:vAlign w:val="cente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在服务过程中. 若因乙方的如下原因造成停机时间超过计划停机时间，则每超出1小时扣2分（不足1小时按1小时计算）：未制定实施计划、应急预案，或完全由于乙方原因未遵照计划实施，造成停机时间超过计划停机时间；</w:t>
            </w:r>
          </w:p>
        </w:tc>
        <w:tc>
          <w:tcPr>
            <w:tcW w:w="708" w:type="dxa"/>
            <w:tcMar>
              <w:top w:w="15" w:type="dxa"/>
              <w:left w:w="15" w:type="dxa"/>
              <w:bottom w:w="0" w:type="dxa"/>
              <w:right w:w="15" w:type="dxa"/>
            </w:tcMar>
            <w:vAlign w:val="center"/>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51"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1276" w:type="dxa"/>
            <w:vMerge w:val="restart"/>
            <w:tcMar>
              <w:top w:w="15" w:type="dxa"/>
              <w:left w:w="15" w:type="dxa"/>
              <w:bottom w:w="0" w:type="dxa"/>
              <w:right w:w="15" w:type="dxa"/>
            </w:tcMar>
            <w:vAlign w:val="center"/>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故障处理服务</w:t>
            </w:r>
          </w:p>
        </w:tc>
        <w:tc>
          <w:tcPr>
            <w:tcW w:w="6521" w:type="dxa"/>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超出到场时限要求，每超出1小时扣2分（不足1小时按1小时计算）。</w:t>
            </w:r>
          </w:p>
        </w:tc>
        <w:tc>
          <w:tcPr>
            <w:tcW w:w="708" w:type="dxa"/>
            <w:vMerge w:val="restart"/>
            <w:tcMar>
              <w:top w:w="15" w:type="dxa"/>
              <w:left w:w="15" w:type="dxa"/>
              <w:bottom w:w="0" w:type="dxa"/>
              <w:right w:w="15" w:type="dxa"/>
            </w:tcMar>
            <w:vAlign w:val="center"/>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51"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6521" w:type="dxa"/>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超出紧急故障恢复时限(参考故障响应时间要求），每超出1小时扣2分（不足1小时按1小时计算）。免责事项：不是由于乙方产品故障导致的不可用；</w:t>
            </w:r>
          </w:p>
        </w:tc>
        <w:tc>
          <w:tcPr>
            <w:tcW w:w="708" w:type="dxa"/>
            <w:vMerge w:val="continue"/>
            <w:vAlign w:val="center"/>
          </w:tcPr>
          <w:p>
            <w:pPr>
              <w:spacing w:line="41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51"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6521" w:type="dxa"/>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不能够满足不间断处理需求的（只用于考核紧急故障），每次扣2分</w:t>
            </w:r>
          </w:p>
        </w:tc>
        <w:tc>
          <w:tcPr>
            <w:tcW w:w="708" w:type="dxa"/>
            <w:vMerge w:val="continue"/>
            <w:vAlign w:val="center"/>
          </w:tcPr>
          <w:p>
            <w:pPr>
              <w:spacing w:line="41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851"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6521" w:type="dxa"/>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故障处理完成时间超出规定时限的，每超出1小时扣2分（不足1小时按1小时计算）</w:t>
            </w:r>
          </w:p>
        </w:tc>
        <w:tc>
          <w:tcPr>
            <w:tcW w:w="708" w:type="dxa"/>
            <w:vMerge w:val="continue"/>
            <w:vAlign w:val="center"/>
          </w:tcPr>
          <w:p>
            <w:pPr>
              <w:spacing w:line="41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851"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6521" w:type="dxa"/>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不能在3个工作日内提交故障分析报告，每超出一天扣2分</w:t>
            </w:r>
          </w:p>
        </w:tc>
        <w:tc>
          <w:tcPr>
            <w:tcW w:w="708" w:type="dxa"/>
            <w:vMerge w:val="continue"/>
            <w:vAlign w:val="center"/>
          </w:tcPr>
          <w:p>
            <w:pPr>
              <w:spacing w:line="41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851" w:type="dxa"/>
            <w:vMerge w:val="continue"/>
            <w:vAlign w:val="center"/>
          </w:tcPr>
          <w:p>
            <w:pPr>
              <w:spacing w:line="410" w:lineRule="exact"/>
              <w:jc w:val="center"/>
              <w:rPr>
                <w:rFonts w:hint="eastAsia" w:ascii="方正仿宋_GBK" w:hAnsi="方正仿宋_GBK" w:eastAsia="方正仿宋_GBK" w:cs="方正仿宋_GBK"/>
                <w:sz w:val="21"/>
                <w:szCs w:val="21"/>
              </w:rPr>
            </w:pPr>
          </w:p>
        </w:tc>
        <w:tc>
          <w:tcPr>
            <w:tcW w:w="1276" w:type="dxa"/>
            <w:vMerge w:val="restart"/>
            <w:tcMar>
              <w:top w:w="15" w:type="dxa"/>
              <w:left w:w="15" w:type="dxa"/>
              <w:bottom w:w="0" w:type="dxa"/>
              <w:right w:w="15" w:type="dxa"/>
            </w:tcMar>
            <w:vAlign w:val="center"/>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其它服务</w:t>
            </w:r>
          </w:p>
        </w:tc>
        <w:tc>
          <w:tcPr>
            <w:tcW w:w="6521" w:type="dxa"/>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乙方未按要求在服务周期内提交相应维保及维修报告，每次扣2分</w:t>
            </w:r>
          </w:p>
        </w:tc>
        <w:tc>
          <w:tcPr>
            <w:tcW w:w="708" w:type="dxa"/>
            <w:vMerge w:val="restart"/>
            <w:tcMar>
              <w:top w:w="15" w:type="dxa"/>
              <w:left w:w="15" w:type="dxa"/>
              <w:bottom w:w="0" w:type="dxa"/>
              <w:right w:w="15" w:type="dxa"/>
            </w:tcMar>
            <w:vAlign w:val="center"/>
          </w:tcPr>
          <w:p>
            <w:pPr>
              <w:spacing w:line="41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51" w:type="dxa"/>
            <w:vMerge w:val="continue"/>
            <w:vAlign w:val="center"/>
          </w:tcPr>
          <w:p>
            <w:pPr>
              <w:spacing w:line="410" w:lineRule="exact"/>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rPr>
                <w:rFonts w:hint="eastAsia" w:ascii="方正仿宋_GBK" w:hAnsi="方正仿宋_GBK" w:eastAsia="方正仿宋_GBK" w:cs="方正仿宋_GBK"/>
                <w:sz w:val="21"/>
                <w:szCs w:val="21"/>
              </w:rPr>
            </w:pPr>
          </w:p>
        </w:tc>
        <w:tc>
          <w:tcPr>
            <w:tcW w:w="6521" w:type="dxa"/>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乙方制定的客户档案及服务计划不符合有关规范（由双方另行书面约定）要求，每次扣2分</w:t>
            </w:r>
          </w:p>
        </w:tc>
        <w:tc>
          <w:tcPr>
            <w:tcW w:w="708" w:type="dxa"/>
            <w:vMerge w:val="continue"/>
            <w:vAlign w:val="center"/>
          </w:tcPr>
          <w:p>
            <w:pPr>
              <w:spacing w:line="410" w:lineRule="exac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51" w:type="dxa"/>
            <w:vMerge w:val="continue"/>
            <w:vAlign w:val="center"/>
          </w:tcPr>
          <w:p>
            <w:pPr>
              <w:spacing w:line="410" w:lineRule="exact"/>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rPr>
                <w:rFonts w:hint="eastAsia" w:ascii="方正仿宋_GBK" w:hAnsi="方正仿宋_GBK" w:eastAsia="方正仿宋_GBK" w:cs="方正仿宋_GBK"/>
                <w:sz w:val="21"/>
                <w:szCs w:val="21"/>
              </w:rPr>
            </w:pPr>
          </w:p>
        </w:tc>
        <w:tc>
          <w:tcPr>
            <w:tcW w:w="6521" w:type="dxa"/>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乙方在双方约定的时间内未对甲方根据合同约定提出的合理意见及建议进行反馈或执行，每次扣4分。</w:t>
            </w:r>
          </w:p>
        </w:tc>
        <w:tc>
          <w:tcPr>
            <w:tcW w:w="708" w:type="dxa"/>
            <w:vMerge w:val="continue"/>
            <w:vAlign w:val="center"/>
          </w:tcPr>
          <w:p>
            <w:pPr>
              <w:spacing w:line="410" w:lineRule="exac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851" w:type="dxa"/>
            <w:vMerge w:val="continue"/>
            <w:vAlign w:val="center"/>
          </w:tcPr>
          <w:p>
            <w:pPr>
              <w:spacing w:line="410" w:lineRule="exact"/>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rPr>
                <w:rFonts w:hint="eastAsia" w:ascii="方正仿宋_GBK" w:hAnsi="方正仿宋_GBK" w:eastAsia="方正仿宋_GBK" w:cs="方正仿宋_GBK"/>
                <w:sz w:val="21"/>
                <w:szCs w:val="21"/>
              </w:rPr>
            </w:pPr>
          </w:p>
        </w:tc>
        <w:tc>
          <w:tcPr>
            <w:tcW w:w="6521" w:type="dxa"/>
            <w:vMerge w:val="restart"/>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由于乙方工程师未能按照双方同意的维护服务规范或服务条款提供服务，每次扣2分。</w:t>
            </w:r>
          </w:p>
        </w:tc>
        <w:tc>
          <w:tcPr>
            <w:tcW w:w="708" w:type="dxa"/>
            <w:vMerge w:val="continue"/>
            <w:vAlign w:val="center"/>
          </w:tcPr>
          <w:p>
            <w:pPr>
              <w:spacing w:line="410" w:lineRule="exac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851" w:type="dxa"/>
            <w:vMerge w:val="continue"/>
            <w:vAlign w:val="center"/>
          </w:tcPr>
          <w:p>
            <w:pPr>
              <w:spacing w:line="410" w:lineRule="exact"/>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rPr>
                <w:rFonts w:hint="eastAsia" w:ascii="方正仿宋_GBK" w:hAnsi="方正仿宋_GBK" w:eastAsia="方正仿宋_GBK" w:cs="方正仿宋_GBK"/>
                <w:sz w:val="21"/>
                <w:szCs w:val="21"/>
              </w:rPr>
            </w:pPr>
          </w:p>
        </w:tc>
        <w:tc>
          <w:tcPr>
            <w:tcW w:w="6521" w:type="dxa"/>
            <w:vMerge w:val="continue"/>
            <w:vAlign w:val="center"/>
          </w:tcPr>
          <w:p>
            <w:pPr>
              <w:spacing w:line="410" w:lineRule="exact"/>
              <w:jc w:val="left"/>
              <w:rPr>
                <w:rFonts w:hint="eastAsia" w:ascii="方正仿宋_GBK" w:hAnsi="方正仿宋_GBK" w:eastAsia="方正仿宋_GBK" w:cs="方正仿宋_GBK"/>
                <w:sz w:val="21"/>
                <w:szCs w:val="21"/>
              </w:rPr>
            </w:pPr>
          </w:p>
        </w:tc>
        <w:tc>
          <w:tcPr>
            <w:tcW w:w="708" w:type="dxa"/>
            <w:vMerge w:val="continue"/>
            <w:vAlign w:val="center"/>
          </w:tcPr>
          <w:p>
            <w:pPr>
              <w:spacing w:line="410" w:lineRule="exac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851" w:type="dxa"/>
            <w:vMerge w:val="continue"/>
            <w:vAlign w:val="center"/>
          </w:tcPr>
          <w:p>
            <w:pPr>
              <w:spacing w:line="410" w:lineRule="exact"/>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rPr>
                <w:rFonts w:hint="eastAsia" w:ascii="方正仿宋_GBK" w:hAnsi="方正仿宋_GBK" w:eastAsia="方正仿宋_GBK" w:cs="方正仿宋_GBK"/>
                <w:sz w:val="21"/>
                <w:szCs w:val="21"/>
              </w:rPr>
            </w:pPr>
          </w:p>
        </w:tc>
        <w:tc>
          <w:tcPr>
            <w:tcW w:w="6521" w:type="dxa"/>
            <w:tcMar>
              <w:top w:w="15" w:type="dxa"/>
              <w:left w:w="15" w:type="dxa"/>
              <w:bottom w:w="0" w:type="dxa"/>
              <w:right w:w="15" w:type="dxa"/>
            </w:tcMar>
            <w:vAlign w:val="cente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由于乙方工程师未能按照双方同意的维护服务规范或服务条款提供服务，甲方提出书面投诉，投诉内容得到乙方认可并同意撤换工程师， 乙方未按甲方要求撤换工程师的，每次扣2分。</w:t>
            </w:r>
          </w:p>
        </w:tc>
        <w:tc>
          <w:tcPr>
            <w:tcW w:w="708" w:type="dxa"/>
            <w:vMerge w:val="continue"/>
            <w:vAlign w:val="center"/>
          </w:tcPr>
          <w:p>
            <w:pPr>
              <w:spacing w:line="410" w:lineRule="exac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5" w:hRule="atLeast"/>
          <w:jc w:val="center"/>
        </w:trPr>
        <w:tc>
          <w:tcPr>
            <w:tcW w:w="851" w:type="dxa"/>
            <w:vMerge w:val="continue"/>
            <w:vAlign w:val="center"/>
          </w:tcPr>
          <w:p>
            <w:pPr>
              <w:spacing w:line="410" w:lineRule="exact"/>
              <w:rPr>
                <w:rFonts w:hint="eastAsia" w:ascii="方正仿宋_GBK" w:hAnsi="方正仿宋_GBK" w:eastAsia="方正仿宋_GBK" w:cs="方正仿宋_GBK"/>
                <w:sz w:val="21"/>
                <w:szCs w:val="21"/>
              </w:rPr>
            </w:pPr>
          </w:p>
        </w:tc>
        <w:tc>
          <w:tcPr>
            <w:tcW w:w="1276" w:type="dxa"/>
            <w:vMerge w:val="continue"/>
            <w:vAlign w:val="center"/>
          </w:tcPr>
          <w:p>
            <w:pPr>
              <w:spacing w:line="410" w:lineRule="exact"/>
              <w:rPr>
                <w:rFonts w:hint="eastAsia" w:ascii="方正仿宋_GBK" w:hAnsi="方正仿宋_GBK" w:eastAsia="方正仿宋_GBK" w:cs="方正仿宋_GBK"/>
                <w:sz w:val="21"/>
                <w:szCs w:val="21"/>
              </w:rPr>
            </w:pPr>
          </w:p>
        </w:tc>
        <w:tc>
          <w:tcPr>
            <w:tcW w:w="6521" w:type="dxa"/>
            <w:tcMar>
              <w:top w:w="15" w:type="dxa"/>
              <w:left w:w="15" w:type="dxa"/>
              <w:bottom w:w="0" w:type="dxa"/>
              <w:right w:w="15" w:type="dxa"/>
            </w:tcMar>
          </w:tcPr>
          <w:p>
            <w:pPr>
              <w:spacing w:line="41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乙方工程师应未按“维护服务内容及要求“或双方另行约定的系统调整和工程支持要求实施项目服务，每次扣2分；</w:t>
            </w:r>
          </w:p>
        </w:tc>
        <w:tc>
          <w:tcPr>
            <w:tcW w:w="708" w:type="dxa"/>
            <w:vMerge w:val="continue"/>
            <w:vAlign w:val="center"/>
          </w:tcPr>
          <w:p>
            <w:pPr>
              <w:spacing w:line="410" w:lineRule="exact"/>
              <w:rPr>
                <w:rFonts w:hint="eastAsia" w:ascii="方正仿宋_GBK" w:hAnsi="方正仿宋_GBK" w:eastAsia="方正仿宋_GBK" w:cs="方正仿宋_GBK"/>
                <w:sz w:val="21"/>
                <w:szCs w:val="21"/>
              </w:rPr>
            </w:pPr>
          </w:p>
        </w:tc>
      </w:tr>
    </w:tbl>
    <w:p>
      <w:pPr>
        <w:spacing w:line="410" w:lineRule="exact"/>
        <w:ind w:hanging="141"/>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4、违约</w:t>
      </w:r>
    </w:p>
    <w:p>
      <w:pPr>
        <w:spacing w:line="41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于甲方支付的全部维护服务费用，乙方同意将合同总价的10％作为质量监督款（质保金），用于进行质量考核后的费用支付。甲方需在维护服务结束后，出具由双方认可的服务验收报告后方可按下述计算方式支付质保金款项。</w:t>
      </w:r>
    </w:p>
    <w:p>
      <w:pPr>
        <w:spacing w:line="41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计算方式为：</w:t>
      </w:r>
    </w:p>
    <w:p>
      <w:pPr>
        <w:spacing w:line="41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（1）考核期测评总分大于等于90分时</w:t>
      </w:r>
    </w:p>
    <w:p>
      <w:pPr>
        <w:spacing w:line="41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t>实际支付款＝合同总价的10％</w:t>
      </w:r>
    </w:p>
    <w:p>
      <w:pPr>
        <w:spacing w:line="41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（2）考核期测评总分小于90分时</w:t>
      </w:r>
    </w:p>
    <w:p>
      <w:pPr>
        <w:spacing w:line="41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t>实际支付款＝合同总价的10％-合同总价的10％*（考核期测评总分/100）</w:t>
      </w:r>
    </w:p>
    <w:p>
      <w:pPr>
        <w:numPr>
          <w:ilvl w:val="0"/>
          <w:numId w:val="0"/>
        </w:numPr>
        <w:spacing w:line="340" w:lineRule="exact"/>
        <w:rPr>
          <w:rFonts w:hint="eastAsia" w:ascii="方正仿宋_GBK" w:hAnsi="方正仿宋_GBK" w:eastAsia="方正仿宋_GBK" w:cs="方正仿宋_GBK"/>
          <w:lang w:val="en-US" w:eastAsia="zh-CN"/>
        </w:rPr>
      </w:pPr>
    </w:p>
    <w:p>
      <w:pPr>
        <w:pStyle w:val="52"/>
        <w:rPr>
          <w:rFonts w:ascii="方正仿宋_GBK" w:hAnsi="方正仿宋_GBK" w:eastAsia="方正仿宋_GBK" w:cs="方正仿宋_GBK"/>
        </w:rPr>
      </w:pPr>
      <w:bookmarkStart w:id="7" w:name="_Toc58064535"/>
    </w:p>
    <w:p>
      <w:pPr>
        <w:rPr>
          <w:rFonts w:ascii="方正仿宋_GBK" w:hAnsi="方正仿宋_GBK" w:eastAsia="方正仿宋_GBK" w:cs="方正仿宋_GBK"/>
        </w:rPr>
      </w:pPr>
    </w:p>
    <w:p>
      <w:pPr>
        <w:pStyle w:val="2"/>
        <w:rPr>
          <w:rFonts w:ascii="方正仿宋_GBK" w:hAnsi="方正仿宋_GBK" w:eastAsia="方正仿宋_GBK" w:cs="方正仿宋_GBK"/>
        </w:rPr>
      </w:pP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p>
    <w:p>
      <w:pPr>
        <w:rPr>
          <w:rFonts w:ascii="方正仿宋_GBK" w:hAnsi="方正仿宋_GBK" w:eastAsia="方正仿宋_GBK" w:cs="方正仿宋_GBK"/>
        </w:rPr>
      </w:pPr>
    </w:p>
    <w:p>
      <w:pPr>
        <w:spacing w:line="500" w:lineRule="exact"/>
        <w:jc w:val="center"/>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第四章  磋商响应文件基本格式</w:t>
      </w:r>
      <w:bookmarkEnd w:id="7"/>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b/>
          <w:sz w:val="32"/>
          <w:szCs w:val="32"/>
        </w:rPr>
      </w:pPr>
    </w:p>
    <w:p>
      <w:pPr>
        <w:pStyle w:val="2"/>
        <w:jc w:val="right"/>
        <w:rPr>
          <w:rFonts w:hint="eastAsia" w:ascii="方正仿宋_GBK" w:hAnsi="方正仿宋_GBK" w:eastAsia="方正仿宋_GBK" w:cs="方正仿宋_GBK"/>
          <w:b/>
          <w:kern w:val="2"/>
          <w:sz w:val="32"/>
          <w:szCs w:val="32"/>
        </w:rPr>
        <w:sectPr>
          <w:footerReference r:id="rId7" w:type="default"/>
          <w:pgSz w:w="11906" w:h="16838"/>
          <w:pgMar w:top="1440" w:right="1800" w:bottom="1440" w:left="1800" w:header="851" w:footer="992" w:gutter="0"/>
          <w:pgNumType w:fmt="decimal" w:start="1"/>
          <w:cols w:space="720" w:num="1"/>
          <w:docGrid w:type="lines" w:linePitch="312" w:charSpace="0"/>
        </w:sectPr>
      </w:pPr>
    </w:p>
    <w:p>
      <w:pPr>
        <w:pStyle w:val="2"/>
        <w:jc w:val="right"/>
        <w:rPr>
          <w:rFonts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rPr>
        <w:t>正本/副本</w:t>
      </w: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spacing w:line="5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竞争性磋商响应文件</w:t>
      </w:r>
    </w:p>
    <w:p>
      <w:pPr>
        <w:spacing w:line="500" w:lineRule="exact"/>
        <w:jc w:val="center"/>
        <w:rPr>
          <w:rFonts w:ascii="方正仿宋_GBK" w:hAnsi="方正仿宋_GBK" w:eastAsia="方正仿宋_GBK" w:cs="方正仿宋_GBK"/>
          <w:b/>
          <w:sz w:val="32"/>
          <w:szCs w:val="32"/>
        </w:rPr>
      </w:pPr>
    </w:p>
    <w:p>
      <w:pPr>
        <w:spacing w:line="500" w:lineRule="exact"/>
        <w:jc w:val="center"/>
        <w:rPr>
          <w:rFonts w:ascii="方正仿宋_GBK" w:hAnsi="方正仿宋_GBK" w:eastAsia="方正仿宋_GBK" w:cs="方正仿宋_GBK"/>
          <w:b/>
          <w:sz w:val="32"/>
          <w:szCs w:val="32"/>
        </w:rPr>
      </w:pPr>
    </w:p>
    <w:p>
      <w:pPr>
        <w:spacing w:line="500" w:lineRule="exact"/>
        <w:jc w:val="center"/>
        <w:rPr>
          <w:rFonts w:ascii="方正仿宋_GBK" w:hAnsi="方正仿宋_GBK" w:eastAsia="方正仿宋_GBK" w:cs="方正仿宋_GBK"/>
          <w:sz w:val="28"/>
          <w:szCs w:val="28"/>
        </w:rPr>
      </w:pPr>
    </w:p>
    <w:p>
      <w:pPr>
        <w:spacing w:line="500" w:lineRule="exact"/>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w:t>
      </w:r>
    </w:p>
    <w:p>
      <w:pPr>
        <w:tabs>
          <w:tab w:val="left" w:pos="3240"/>
        </w:tabs>
        <w:spacing w:line="500" w:lineRule="exact"/>
        <w:ind w:firstLine="560" w:firstLineChars="200"/>
        <w:rPr>
          <w:rFonts w:ascii="方正仿宋_GBK" w:hAnsi="方正仿宋_GBK" w:eastAsia="方正仿宋_GBK" w:cs="方正仿宋_GBK"/>
          <w:sz w:val="24"/>
          <w:u w:val="single"/>
        </w:rPr>
      </w:pPr>
      <w:r>
        <w:rPr>
          <w:rFonts w:hint="eastAsia" w:ascii="方正仿宋_GBK" w:hAnsi="方正仿宋_GBK" w:eastAsia="方正仿宋_GBK" w:cs="方正仿宋_GBK"/>
          <w:sz w:val="28"/>
          <w:szCs w:val="28"/>
        </w:rPr>
        <w:t>采购项目名称：</w:t>
      </w:r>
    </w:p>
    <w:p>
      <w:pPr>
        <w:spacing w:line="50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采购项目编号：</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竞标人单位全称（盖章）：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竞标人地址：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联系电话：                   </w:t>
      </w:r>
    </w:p>
    <w:p>
      <w:pPr>
        <w:spacing w:line="500" w:lineRule="exact"/>
        <w:ind w:firstLine="560" w:firstLineChars="200"/>
        <w:rPr>
          <w:rFonts w:ascii="方正仿宋_GBK" w:hAnsi="方正仿宋_GBK" w:eastAsia="方正仿宋_GBK" w:cs="方正仿宋_GBK"/>
          <w:sz w:val="28"/>
          <w:szCs w:val="28"/>
        </w:rPr>
      </w:pP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于开标前不得启封</w:t>
      </w:r>
    </w:p>
    <w:p>
      <w:pPr>
        <w:spacing w:line="500" w:lineRule="exact"/>
        <w:ind w:firstLine="560" w:firstLineChars="200"/>
        <w:rPr>
          <w:rFonts w:ascii="方正仿宋_GBK" w:hAnsi="方正仿宋_GBK" w:eastAsia="方正仿宋_GBK" w:cs="方正仿宋_GBK"/>
          <w:sz w:val="28"/>
          <w:szCs w:val="28"/>
        </w:rPr>
      </w:pPr>
    </w:p>
    <w:p>
      <w:pPr>
        <w:spacing w:line="500" w:lineRule="exact"/>
        <w:ind w:firstLine="560" w:firstLineChars="200"/>
        <w:rPr>
          <w:rFonts w:ascii="方正仿宋_GBK" w:hAnsi="方正仿宋_GBK" w:eastAsia="方正仿宋_GBK" w:cs="方正仿宋_GBK"/>
          <w:sz w:val="28"/>
          <w:szCs w:val="28"/>
        </w:rPr>
      </w:pPr>
    </w:p>
    <w:p>
      <w:pPr>
        <w:spacing w:line="500" w:lineRule="exact"/>
        <w:ind w:firstLine="6440" w:firstLineChars="2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2024年   月   日</w:t>
      </w:r>
    </w:p>
    <w:p>
      <w:pPr>
        <w:pStyle w:val="2"/>
        <w:rPr>
          <w:rFonts w:ascii="方正仿宋_GBK" w:hAnsi="方正仿宋_GBK" w:eastAsia="方正仿宋_GBK" w:cs="方正仿宋_GBK"/>
        </w:rPr>
      </w:pPr>
    </w:p>
    <w:p>
      <w:pPr>
        <w:spacing w:line="320" w:lineRule="exact"/>
        <w:rPr>
          <w:rFonts w:ascii="方正仿宋_GBK" w:hAnsi="方正仿宋_GBK" w:eastAsia="方正仿宋_GBK" w:cs="方正仿宋_GBK"/>
          <w:szCs w:val="21"/>
        </w:rPr>
      </w:pPr>
    </w:p>
    <w:p>
      <w:pPr>
        <w:spacing w:line="320" w:lineRule="exact"/>
        <w:rPr>
          <w:rFonts w:ascii="方正仿宋_GBK" w:hAnsi="方正仿宋_GBK" w:eastAsia="方正仿宋_GBK" w:cs="方正仿宋_GBK"/>
          <w:szCs w:val="21"/>
        </w:rPr>
      </w:pPr>
    </w:p>
    <w:p>
      <w:pPr>
        <w:pStyle w:val="22"/>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kern w:val="0"/>
          <w:sz w:val="32"/>
          <w:szCs w:val="32"/>
        </w:rPr>
        <w:t>一、磋商书（格式）</w:t>
      </w:r>
    </w:p>
    <w:p>
      <w:pPr>
        <w:spacing w:line="52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磋  商  书</w:t>
      </w:r>
    </w:p>
    <w:p>
      <w:pPr>
        <w:pStyle w:val="22"/>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广西北部湾银行股份有限公司</w:t>
      </w:r>
      <w:r>
        <w:rPr>
          <w:rFonts w:hint="eastAsia" w:ascii="方正仿宋_GBK" w:hAnsi="方正仿宋_GBK" w:eastAsia="方正仿宋_GBK" w:cs="方正仿宋_GBK"/>
          <w:sz w:val="28"/>
          <w:szCs w:val="28"/>
        </w:rPr>
        <w:t>：</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依据贵方</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b/>
          <w:bCs/>
          <w:sz w:val="28"/>
          <w:szCs w:val="28"/>
          <w:u w:val="single"/>
        </w:rPr>
        <w:t>XX</w:t>
      </w:r>
      <w:r>
        <w:rPr>
          <w:rFonts w:hint="eastAsia" w:ascii="方正仿宋_GBK" w:hAnsi="方正仿宋_GBK" w:eastAsia="方正仿宋_GBK" w:cs="方正仿宋_GBK"/>
          <w:b/>
          <w:sz w:val="28"/>
          <w:szCs w:val="28"/>
          <w:u w:val="single"/>
        </w:rPr>
        <w:t>/项目编号：XX</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项目采购的磋商邀请，我方</w:t>
      </w:r>
      <w:r>
        <w:rPr>
          <w:rFonts w:hint="eastAsia" w:ascii="方正仿宋_GBK" w:hAnsi="方正仿宋_GBK" w:eastAsia="方正仿宋_GBK" w:cs="方正仿宋_GBK"/>
          <w:sz w:val="28"/>
          <w:szCs w:val="28"/>
          <w:u w:val="single"/>
        </w:rPr>
        <w:t>（姓名：     身份证号：   职务：    ）</w:t>
      </w:r>
      <w:r>
        <w:rPr>
          <w:rFonts w:hint="eastAsia" w:ascii="方正仿宋_GBK" w:hAnsi="方正仿宋_GBK" w:eastAsia="方正仿宋_GBK" w:cs="方正仿宋_GBK"/>
          <w:sz w:val="28"/>
          <w:szCs w:val="28"/>
        </w:rPr>
        <w:t>经正式授权并代表磋商供应商</w:t>
      </w:r>
      <w:r>
        <w:rPr>
          <w:rFonts w:hint="eastAsia" w:ascii="方正仿宋_GBK" w:hAnsi="方正仿宋_GBK" w:eastAsia="方正仿宋_GBK" w:cs="方正仿宋_GBK"/>
          <w:sz w:val="28"/>
          <w:szCs w:val="28"/>
          <w:u w:val="single"/>
        </w:rPr>
        <w:t>（磋商供应商名称、地址）</w:t>
      </w:r>
      <w:r>
        <w:rPr>
          <w:rFonts w:hint="eastAsia" w:ascii="方正仿宋_GBK" w:hAnsi="方正仿宋_GBK" w:eastAsia="方正仿宋_GBK" w:cs="方正仿宋_GBK"/>
          <w:sz w:val="28"/>
          <w:szCs w:val="28"/>
        </w:rPr>
        <w:t>提交下述竞争性磋商响应文件（价格、商务、技术文件）</w:t>
      </w:r>
      <w:r>
        <w:rPr>
          <w:rFonts w:hint="eastAsia" w:ascii="方正仿宋_GBK" w:hAnsi="方正仿宋_GBK" w:eastAsia="方正仿宋_GBK" w:cs="方正仿宋_GBK"/>
          <w:color w:val="auto"/>
          <w:sz w:val="28"/>
          <w:szCs w:val="28"/>
        </w:rPr>
        <w:t>正本一份和副本二份。</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磋商书；</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磋商报价；</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资格证明文件；</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4.按竞争性磋商采购文件和货物（服务）内容要求提供相关文件；</w:t>
      </w:r>
    </w:p>
    <w:p>
      <w:pPr>
        <w:pStyle w:val="22"/>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在此，授权代表宣布同意如下：</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将按竞争性磋商采购文件的约定履行合同责任和义务；</w:t>
      </w:r>
    </w:p>
    <w:p>
      <w:pPr>
        <w:pStyle w:val="22"/>
        <w:spacing w:line="520" w:lineRule="exact"/>
        <w:ind w:left="840" w:hanging="3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已详细审查全部竞争性磋商采购文件，包括</w:t>
      </w:r>
      <w:r>
        <w:rPr>
          <w:rFonts w:hint="eastAsia" w:ascii="方正仿宋_GBK" w:hAnsi="方正仿宋_GBK" w:eastAsia="方正仿宋_GBK" w:cs="方正仿宋_GBK"/>
          <w:sz w:val="28"/>
          <w:szCs w:val="28"/>
          <w:u w:val="single"/>
        </w:rPr>
        <w:t>（补遗书）（如果有的话）</w:t>
      </w:r>
      <w:r>
        <w:rPr>
          <w:rFonts w:hint="eastAsia" w:ascii="方正仿宋_GBK" w:hAnsi="方正仿宋_GBK" w:eastAsia="方正仿宋_GBK" w:cs="方正仿宋_GBK"/>
          <w:sz w:val="28"/>
          <w:szCs w:val="28"/>
        </w:rPr>
        <w:t>；我们完全理解并同意放弃对这方面有不明及误解的权力；</w:t>
      </w:r>
    </w:p>
    <w:p>
      <w:pPr>
        <w:pStyle w:val="22"/>
        <w:spacing w:line="520" w:lineRule="exact"/>
        <w:ind w:left="840" w:hanging="3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同意提供按照贵方可能要求的与其磋商有关的一切数据或资料；</w:t>
      </w:r>
    </w:p>
    <w:p>
      <w:pPr>
        <w:pStyle w:val="22"/>
        <w:spacing w:line="520" w:lineRule="exact"/>
        <w:ind w:firstLine="48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4. 与本磋商有关的一切正式往来信函请寄：</w:t>
      </w:r>
      <w:r>
        <w:rPr>
          <w:rFonts w:hint="eastAsia" w:ascii="方正仿宋_GBK" w:hAnsi="方正仿宋_GBK" w:eastAsia="方正仿宋_GBK" w:cs="方正仿宋_GBK"/>
          <w:sz w:val="28"/>
          <w:szCs w:val="28"/>
          <w:u w:val="single"/>
        </w:rPr>
        <w:t xml:space="preserve">                       </w:t>
      </w:r>
    </w:p>
    <w:p>
      <w:pPr>
        <w:pStyle w:val="22"/>
        <w:spacing w:line="520" w:lineRule="exact"/>
        <w:ind w:firstLine="840" w:firstLineChars="3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电话/传真：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电子函件：</w:t>
      </w:r>
      <w:r>
        <w:rPr>
          <w:rFonts w:hint="eastAsia" w:ascii="方正仿宋_GBK" w:hAnsi="方正仿宋_GBK" w:eastAsia="方正仿宋_GBK" w:cs="方正仿宋_GBK"/>
          <w:sz w:val="28"/>
          <w:szCs w:val="28"/>
          <w:u w:val="single"/>
        </w:rPr>
        <w:t xml:space="preserve">                       </w:t>
      </w:r>
    </w:p>
    <w:p>
      <w:pPr>
        <w:pStyle w:val="22"/>
        <w:spacing w:line="520" w:lineRule="exact"/>
        <w:ind w:firstLine="84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法定代表人或委托代理人签字或盖章：</w:t>
      </w:r>
      <w:r>
        <w:rPr>
          <w:rFonts w:hint="eastAsia" w:ascii="方正仿宋_GBK" w:hAnsi="方正仿宋_GBK" w:eastAsia="方正仿宋_GBK" w:cs="方正仿宋_GBK"/>
          <w:sz w:val="28"/>
          <w:szCs w:val="28"/>
          <w:u w:val="single"/>
        </w:rPr>
        <w:t xml:space="preserve">                       </w:t>
      </w:r>
    </w:p>
    <w:p>
      <w:pPr>
        <w:pStyle w:val="22"/>
        <w:spacing w:line="520" w:lineRule="exact"/>
        <w:ind w:firstLine="84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磋商供应商名称（盖章）：</w:t>
      </w:r>
      <w:r>
        <w:rPr>
          <w:rFonts w:hint="eastAsia" w:ascii="方正仿宋_GBK" w:hAnsi="方正仿宋_GBK" w:eastAsia="方正仿宋_GBK" w:cs="方正仿宋_GBK"/>
          <w:sz w:val="28"/>
          <w:szCs w:val="28"/>
          <w:u w:val="single"/>
        </w:rPr>
        <w:t xml:space="preserve">                       </w:t>
      </w:r>
    </w:p>
    <w:p>
      <w:pPr>
        <w:pStyle w:val="22"/>
        <w:spacing w:line="520" w:lineRule="exact"/>
        <w:ind w:firstLine="84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u w:val="single"/>
        </w:rPr>
        <w:t xml:space="preserve">     年  月   日</w:t>
      </w:r>
    </w:p>
    <w:p>
      <w:pPr>
        <w:spacing w:line="5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kern w:val="0"/>
          <w:sz w:val="32"/>
          <w:szCs w:val="32"/>
        </w:rPr>
        <w:t>二、磋商报价表（格式）</w:t>
      </w:r>
    </w:p>
    <w:p>
      <w:pPr>
        <w:spacing w:line="500" w:lineRule="exact"/>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磋商报价表</w:t>
      </w:r>
    </w:p>
    <w:p>
      <w:pPr>
        <w:spacing w:line="500" w:lineRule="exact"/>
        <w:ind w:firstLine="480" w:firstLineChars="200"/>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项目编号:</w:t>
      </w:r>
      <w:r>
        <w:rPr>
          <w:rFonts w:hint="eastAsia" w:ascii="方正仿宋_GBK" w:hAnsi="方正仿宋_GBK" w:eastAsia="方正仿宋_GBK" w:cs="方正仿宋_GBK"/>
          <w:sz w:val="24"/>
          <w:u w:val="single"/>
        </w:rPr>
        <w:t xml:space="preserve">                      </w:t>
      </w:r>
    </w:p>
    <w:p>
      <w:pPr>
        <w:spacing w:line="500" w:lineRule="exact"/>
        <w:ind w:firstLine="480" w:firstLineChars="200"/>
        <w:rPr>
          <w:rFonts w:ascii="方正仿宋_GBK" w:hAnsi="方正仿宋_GBK" w:eastAsia="方正仿宋_GBK" w:cs="方正仿宋_GBK"/>
          <w:sz w:val="24"/>
          <w:u w:val="single"/>
        </w:rPr>
      </w:pPr>
      <w:r>
        <w:rPr>
          <w:rFonts w:hint="eastAsia" w:ascii="方正仿宋_GBK" w:hAnsi="方正仿宋_GBK" w:eastAsia="方正仿宋_GBK" w:cs="方正仿宋_GBK"/>
          <w:bCs/>
          <w:sz w:val="24"/>
        </w:rPr>
        <w:t>项目名称:</w:t>
      </w:r>
      <w:r>
        <w:rPr>
          <w:rFonts w:hint="eastAsia" w:ascii="方正仿宋_GBK" w:hAnsi="方正仿宋_GBK" w:eastAsia="方正仿宋_GBK" w:cs="方正仿宋_GBK"/>
          <w:sz w:val="24"/>
          <w:u w:val="single"/>
        </w:rPr>
        <w:t xml:space="preserve">                      </w:t>
      </w:r>
    </w:p>
    <w:p>
      <w:pPr>
        <w:spacing w:before="120" w:line="22" w:lineRule="atLeast"/>
        <w:rPr>
          <w:rFonts w:ascii="方正仿宋_GBK" w:hAnsi="方正仿宋_GBK" w:eastAsia="方正仿宋_GBK" w:cs="方正仿宋_GBK"/>
          <w:b/>
          <w:bCs/>
          <w:caps/>
          <w:sz w:val="28"/>
          <w:szCs w:val="28"/>
        </w:rPr>
      </w:pPr>
    </w:p>
    <w:tbl>
      <w:tblPr>
        <w:tblStyle w:val="43"/>
        <w:tblpPr w:leftFromText="180" w:rightFromText="180" w:vertAnchor="text" w:horzAnchor="page" w:tblpX="1485" w:tblpY="540"/>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02"/>
        <w:gridCol w:w="1863"/>
        <w:gridCol w:w="313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1" w:hRule="atLeast"/>
        </w:trPr>
        <w:tc>
          <w:tcPr>
            <w:tcW w:w="702"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序号</w:t>
            </w:r>
          </w:p>
        </w:tc>
        <w:tc>
          <w:tcPr>
            <w:tcW w:w="1863"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采购标的名称</w:t>
            </w:r>
          </w:p>
        </w:tc>
        <w:tc>
          <w:tcPr>
            <w:tcW w:w="3138"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含税报价（元）</w:t>
            </w:r>
          </w:p>
        </w:tc>
        <w:tc>
          <w:tcPr>
            <w:tcW w:w="3125"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8" w:hRule="atLeast"/>
        </w:trPr>
        <w:tc>
          <w:tcPr>
            <w:tcW w:w="702" w:type="dxa"/>
            <w:vAlign w:val="center"/>
          </w:tcPr>
          <w:p>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p>
          <w:p>
            <w:pPr>
              <w:jc w:val="center"/>
              <w:rPr>
                <w:rFonts w:ascii="方正仿宋_GBK" w:hAnsi="方正仿宋_GBK" w:eastAsia="方正仿宋_GBK" w:cs="方正仿宋_GBK"/>
                <w:sz w:val="24"/>
                <w:szCs w:val="28"/>
              </w:rPr>
            </w:pPr>
          </w:p>
        </w:tc>
        <w:tc>
          <w:tcPr>
            <w:tcW w:w="1863" w:type="dxa"/>
            <w:vAlign w:val="center"/>
          </w:tcPr>
          <w:p>
            <w:pP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广西北部湾银行</w:t>
            </w:r>
            <w:r>
              <w:rPr>
                <w:rFonts w:hint="eastAsia" w:ascii="方正仿宋_GBK" w:hAnsi="方正仿宋_GBK" w:eastAsia="方正仿宋_GBK" w:cs="方正仿宋_GBK"/>
                <w:sz w:val="24"/>
                <w:szCs w:val="28"/>
                <w:lang w:val="en-US" w:eastAsia="zh-CN"/>
              </w:rPr>
              <w:t>数据中心柴发</w:t>
            </w:r>
            <w:r>
              <w:rPr>
                <w:rFonts w:hint="eastAsia" w:ascii="方正仿宋_GBK" w:hAnsi="方正仿宋_GBK" w:eastAsia="方正仿宋_GBK" w:cs="方正仿宋_GBK"/>
                <w:sz w:val="24"/>
                <w:szCs w:val="28"/>
              </w:rPr>
              <w:t>系统维保项目</w:t>
            </w:r>
          </w:p>
        </w:tc>
        <w:tc>
          <w:tcPr>
            <w:tcW w:w="3138" w:type="dxa"/>
            <w:vAlign w:val="center"/>
          </w:tcPr>
          <w:p>
            <w:pPr>
              <w:jc w:val="center"/>
              <w:rPr>
                <w:rFonts w:ascii="方正仿宋_GBK" w:hAnsi="方正仿宋_GBK" w:eastAsia="方正仿宋_GBK" w:cs="方正仿宋_GBK"/>
                <w:sz w:val="24"/>
                <w:szCs w:val="28"/>
              </w:rPr>
            </w:pPr>
          </w:p>
        </w:tc>
        <w:tc>
          <w:tcPr>
            <w:tcW w:w="3125"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增值税率为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w:t>
            </w:r>
          </w:p>
        </w:tc>
      </w:tr>
    </w:tbl>
    <w:p>
      <w:pPr>
        <w:spacing w:before="120" w:line="22" w:lineRule="atLeast"/>
        <w:rPr>
          <w:rFonts w:ascii="方正仿宋_GBK" w:hAnsi="方正仿宋_GBK" w:eastAsia="方正仿宋_GBK" w:cs="方正仿宋_GBK"/>
          <w:b/>
          <w:bCs/>
          <w:caps/>
          <w:sz w:val="28"/>
          <w:szCs w:val="28"/>
        </w:rPr>
      </w:pPr>
    </w:p>
    <w:p>
      <w:pPr>
        <w:spacing w:before="120" w:line="22" w:lineRule="atLeast"/>
        <w:jc w:val="center"/>
        <w:rPr>
          <w:rFonts w:ascii="方正仿宋_GBK" w:hAnsi="方正仿宋_GBK" w:eastAsia="方正仿宋_GBK" w:cs="方正仿宋_GBK"/>
          <w:b/>
          <w:bCs/>
          <w:caps/>
          <w:sz w:val="28"/>
          <w:szCs w:val="28"/>
        </w:rPr>
      </w:pPr>
    </w:p>
    <w:p>
      <w:pPr>
        <w:spacing w:before="120" w:line="22" w:lineRule="atLeast"/>
        <w:jc w:val="center"/>
        <w:rPr>
          <w:rFonts w:ascii="方正仿宋_GBK" w:hAnsi="方正仿宋_GBK" w:eastAsia="方正仿宋_GBK" w:cs="方正仿宋_GBK"/>
          <w:b/>
          <w:bCs/>
          <w:caps/>
          <w:sz w:val="28"/>
          <w:szCs w:val="28"/>
        </w:rPr>
      </w:pPr>
    </w:p>
    <w:p>
      <w:pPr>
        <w:spacing w:before="120" w:line="22" w:lineRule="atLeast"/>
        <w:jc w:val="center"/>
        <w:rPr>
          <w:rFonts w:ascii="方正仿宋_GBK" w:hAnsi="方正仿宋_GBK" w:eastAsia="方正仿宋_GBK" w:cs="方正仿宋_GBK"/>
          <w:b/>
          <w:bCs/>
          <w:caps/>
          <w:sz w:val="28"/>
          <w:szCs w:val="28"/>
        </w:rPr>
      </w:pPr>
    </w:p>
    <w:p>
      <w:pPr>
        <w:pStyle w:val="22"/>
        <w:spacing w:line="48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法定代表人或委托代理人签字或盖章：</w:t>
      </w:r>
      <w:r>
        <w:rPr>
          <w:rFonts w:hint="eastAsia" w:ascii="方正仿宋_GBK" w:hAnsi="方正仿宋_GBK" w:eastAsia="方正仿宋_GBK" w:cs="方正仿宋_GBK"/>
          <w:sz w:val="28"/>
          <w:szCs w:val="28"/>
          <w:u w:val="single"/>
        </w:rPr>
        <w:t xml:space="preserve">                       </w:t>
      </w:r>
    </w:p>
    <w:p>
      <w:pPr>
        <w:pStyle w:val="22"/>
        <w:spacing w:line="48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磋商供应商名称（盖章）：</w:t>
      </w:r>
      <w:r>
        <w:rPr>
          <w:rFonts w:hint="eastAsia" w:ascii="方正仿宋_GBK" w:hAnsi="方正仿宋_GBK" w:eastAsia="方正仿宋_GBK" w:cs="方正仿宋_GBK"/>
          <w:sz w:val="28"/>
          <w:szCs w:val="28"/>
          <w:u w:val="single"/>
        </w:rPr>
        <w:t xml:space="preserve">                       </w:t>
      </w:r>
    </w:p>
    <w:p>
      <w:pPr>
        <w:pStyle w:val="22"/>
        <w:spacing w:line="48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w:t>
      </w:r>
      <w:r>
        <w:rPr>
          <w:rFonts w:hint="eastAsia" w:ascii="方正仿宋_GBK" w:hAnsi="方正仿宋_GBK" w:eastAsia="方正仿宋_GBK" w:cs="方正仿宋_GBK"/>
          <w:sz w:val="28"/>
          <w:szCs w:val="28"/>
          <w:u w:val="single"/>
        </w:rPr>
        <w:t xml:space="preserve">                       </w:t>
      </w: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spacing w:line="300" w:lineRule="auto"/>
        <w:rPr>
          <w:rFonts w:hint="eastAsia" w:ascii="方正仿宋_GBK" w:hAnsi="方正仿宋_GBK" w:eastAsia="方正仿宋_GBK" w:cs="方正仿宋_GBK"/>
          <w:kern w:val="0"/>
          <w:sz w:val="32"/>
          <w:szCs w:val="32"/>
        </w:rPr>
        <w:sectPr>
          <w:pgSz w:w="11906" w:h="16838"/>
          <w:pgMar w:top="1440" w:right="1800" w:bottom="1440" w:left="1800" w:header="851" w:footer="992" w:gutter="0"/>
          <w:pgNumType w:fmt="decimal"/>
          <w:cols w:space="720" w:num="1"/>
          <w:docGrid w:type="lines" w:linePitch="312" w:charSpace="0"/>
        </w:sectPr>
      </w:pPr>
    </w:p>
    <w:p>
      <w:pPr>
        <w:spacing w:line="300"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w:t>
      </w:r>
      <w:r>
        <w:rPr>
          <w:rFonts w:hint="eastAsia" w:ascii="方正仿宋_GBK" w:hAnsi="方正仿宋_GBK" w:eastAsia="方正仿宋_GBK" w:cs="方正仿宋_GBK"/>
          <w:bCs/>
          <w:kern w:val="0"/>
          <w:sz w:val="32"/>
          <w:szCs w:val="32"/>
        </w:rPr>
        <w:t>法定代表人身份证明书</w:t>
      </w:r>
    </w:p>
    <w:p>
      <w:pPr>
        <w:spacing w:before="312" w:beforeLines="100" w:after="156" w:afterLines="50"/>
        <w:ind w:left="540"/>
        <w:jc w:val="center"/>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法定代表人身份证明书格式</w:t>
      </w:r>
    </w:p>
    <w:p>
      <w:pPr>
        <w:pStyle w:val="2"/>
        <w:rPr>
          <w:rFonts w:ascii="方正仿宋_GBK" w:hAnsi="方正仿宋_GBK" w:eastAsia="方正仿宋_GBK" w:cs="方正仿宋_GBK"/>
        </w:rPr>
      </w:pPr>
    </w:p>
    <w:p>
      <w:pPr>
        <w:spacing w:line="480" w:lineRule="exact"/>
        <w:ind w:left="539"/>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竞 标 人：</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地    址：</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年  月  日</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姓    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4"/>
        </w:rPr>
        <w:t xml:space="preserve">      性    别：</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 xml:space="preserve">年    龄：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4"/>
        </w:rPr>
        <w:t xml:space="preserve">     职    务：</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系</w:t>
      </w:r>
      <w:r>
        <w:rPr>
          <w:rFonts w:hint="eastAsia" w:ascii="方正仿宋_GBK" w:hAnsi="方正仿宋_GBK" w:eastAsia="方正仿宋_GBK" w:cs="方正仿宋_GBK"/>
          <w:sz w:val="24"/>
          <w:u w:val="single"/>
        </w:rPr>
        <w:t>（供应商名称）</w:t>
      </w:r>
      <w:r>
        <w:rPr>
          <w:rFonts w:hint="eastAsia" w:ascii="方正仿宋_GBK" w:hAnsi="方正仿宋_GBK" w:eastAsia="方正仿宋_GBK" w:cs="方正仿宋_GBK"/>
          <w:sz w:val="24"/>
        </w:rPr>
        <w:t>的法定代表人。</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480" w:lineRule="exact"/>
        <w:ind w:left="539"/>
        <w:rPr>
          <w:rFonts w:ascii="方正仿宋_GBK" w:hAnsi="方正仿宋_GBK" w:eastAsia="方正仿宋_GBK" w:cs="方正仿宋_GBK"/>
          <w:sz w:val="24"/>
        </w:rPr>
      </w:pPr>
    </w:p>
    <w:p>
      <w:pPr>
        <w:spacing w:line="480" w:lineRule="exact"/>
        <w:ind w:left="539"/>
        <w:rPr>
          <w:rFonts w:ascii="方正仿宋_GBK" w:hAnsi="方正仿宋_GBK" w:eastAsia="方正仿宋_GBK" w:cs="方正仿宋_GBK"/>
          <w:b/>
          <w:sz w:val="24"/>
        </w:rPr>
      </w:pPr>
      <w:r>
        <w:rPr>
          <w:rFonts w:hint="eastAsia" w:ascii="方正仿宋_GBK" w:hAnsi="方正仿宋_GBK" w:eastAsia="方正仿宋_GBK" w:cs="方正仿宋_GBK"/>
          <w:b/>
          <w:sz w:val="24"/>
        </w:rPr>
        <w:t>附件：法定代表人有效身份证正反面复印件</w:t>
      </w:r>
    </w:p>
    <w:p>
      <w:pPr>
        <w:spacing w:line="480" w:lineRule="exact"/>
        <w:ind w:left="539"/>
        <w:rPr>
          <w:rFonts w:ascii="方正仿宋_GBK" w:hAnsi="方正仿宋_GBK" w:eastAsia="方正仿宋_GBK" w:cs="方正仿宋_GBK"/>
          <w:sz w:val="24"/>
        </w:rPr>
      </w:pPr>
    </w:p>
    <w:p>
      <w:pPr>
        <w:spacing w:line="480" w:lineRule="exact"/>
        <w:ind w:left="539"/>
        <w:rPr>
          <w:rFonts w:ascii="方正仿宋_GBK" w:hAnsi="方正仿宋_GBK" w:eastAsia="方正仿宋_GBK" w:cs="方正仿宋_GBK"/>
          <w:sz w:val="24"/>
        </w:rPr>
      </w:pPr>
    </w:p>
    <w:p>
      <w:pPr>
        <w:pStyle w:val="22"/>
        <w:spacing w:line="480" w:lineRule="auto"/>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法定代表人签字或盖章：</w:t>
      </w:r>
      <w:r>
        <w:rPr>
          <w:rFonts w:hint="eastAsia" w:ascii="方正仿宋_GBK" w:hAnsi="方正仿宋_GBK" w:eastAsia="方正仿宋_GBK" w:cs="方正仿宋_GBK"/>
          <w:sz w:val="28"/>
          <w:szCs w:val="28"/>
          <w:u w:val="single"/>
        </w:rPr>
        <w:t xml:space="preserve">                       </w:t>
      </w:r>
    </w:p>
    <w:p>
      <w:pPr>
        <w:pStyle w:val="22"/>
        <w:spacing w:line="480" w:lineRule="auto"/>
        <w:rPr>
          <w:rFonts w:ascii="方正仿宋_GBK" w:hAnsi="方正仿宋_GBK" w:eastAsia="方正仿宋_GBK" w:cs="方正仿宋_GBK"/>
          <w:u w:val="single"/>
        </w:rPr>
      </w:pPr>
      <w:r>
        <w:rPr>
          <w:rFonts w:hint="eastAsia" w:ascii="方正仿宋_GBK" w:hAnsi="方正仿宋_GBK" w:eastAsia="方正仿宋_GBK" w:cs="方正仿宋_GBK"/>
          <w:sz w:val="28"/>
          <w:szCs w:val="28"/>
        </w:rPr>
        <w:t>磋商供应商名称（盖章）：</w:t>
      </w:r>
      <w:r>
        <w:rPr>
          <w:rFonts w:hint="eastAsia" w:ascii="方正仿宋_GBK" w:hAnsi="方正仿宋_GBK" w:eastAsia="方正仿宋_GBK" w:cs="方正仿宋_GBK"/>
          <w:sz w:val="28"/>
          <w:szCs w:val="28"/>
          <w:u w:val="single"/>
        </w:rPr>
        <w:t xml:space="preserve">                       </w:t>
      </w:r>
    </w:p>
    <w:p>
      <w:pPr>
        <w:pStyle w:val="22"/>
        <w:spacing w:line="480" w:lineRule="auto"/>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p>
    <w:p>
      <w:pPr>
        <w:rPr>
          <w:rFonts w:ascii="方正仿宋_GBK" w:hAnsi="方正仿宋_GBK" w:eastAsia="方正仿宋_GBK" w:cs="方正仿宋_GBK"/>
          <w:szCs w:val="20"/>
          <w:u w:val="single"/>
        </w:rPr>
      </w:pPr>
    </w:p>
    <w:p>
      <w:pPr>
        <w:spacing w:line="300"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24"/>
        </w:rPr>
        <w:br w:type="page"/>
      </w:r>
    </w:p>
    <w:p>
      <w:pPr>
        <w:spacing w:line="300"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四、法定代表人授权书（格式）</w:t>
      </w:r>
    </w:p>
    <w:p>
      <w:pPr>
        <w:spacing w:line="300" w:lineRule="auto"/>
        <w:rPr>
          <w:rFonts w:ascii="方正仿宋_GBK" w:hAnsi="方正仿宋_GBK" w:eastAsia="方正仿宋_GBK" w:cs="方正仿宋_GBK"/>
          <w:kern w:val="0"/>
          <w:sz w:val="32"/>
          <w:szCs w:val="32"/>
        </w:rPr>
      </w:pPr>
    </w:p>
    <w:p>
      <w:pPr>
        <w:adjustRightInd w:val="0"/>
        <w:snapToGrid w:val="0"/>
        <w:spacing w:line="300" w:lineRule="auto"/>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法定代表人授权书(一)</w:t>
      </w:r>
    </w:p>
    <w:p>
      <w:pPr>
        <w:adjustRightInd w:val="0"/>
        <w:snapToGrid w:val="0"/>
        <w:spacing w:line="520" w:lineRule="exact"/>
        <w:rPr>
          <w:rFonts w:ascii="方正仿宋_GBK" w:hAnsi="方正仿宋_GBK" w:eastAsia="方正仿宋_GBK" w:cs="方正仿宋_GBK"/>
          <w:sz w:val="28"/>
          <w:szCs w:val="28"/>
        </w:rPr>
      </w:pPr>
    </w:p>
    <w:p>
      <w:pPr>
        <w:spacing w:line="520" w:lineRule="exact"/>
        <w:rPr>
          <w:rFonts w:ascii="方正仿宋_GBK" w:hAnsi="方正仿宋_GBK" w:eastAsia="方正仿宋_GBK" w:cs="方正仿宋_GBK"/>
          <w:sz w:val="24"/>
          <w:szCs w:val="28"/>
        </w:rPr>
      </w:pPr>
      <w:r>
        <w:rPr>
          <w:rFonts w:hint="eastAsia" w:ascii="方正仿宋_GBK" w:hAnsi="方正仿宋_GBK" w:eastAsia="方正仿宋_GBK" w:cs="方正仿宋_GBK"/>
          <w:bCs/>
          <w:sz w:val="24"/>
          <w:u w:val="single"/>
        </w:rPr>
        <w:t>广西北部湾银行股份有限公司</w:t>
      </w:r>
      <w:r>
        <w:rPr>
          <w:rFonts w:hint="eastAsia" w:ascii="方正仿宋_GBK" w:hAnsi="方正仿宋_GBK" w:eastAsia="方正仿宋_GBK" w:cs="方正仿宋_GBK"/>
          <w:sz w:val="24"/>
          <w:szCs w:val="28"/>
        </w:rPr>
        <w:t>：</w:t>
      </w:r>
    </w:p>
    <w:p>
      <w:pPr>
        <w:spacing w:line="52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兹授权</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同志，身份证号：</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为我公司参加贵单位组织的</w:t>
      </w:r>
      <w:r>
        <w:rPr>
          <w:rFonts w:hint="eastAsia" w:ascii="方正仿宋_GBK" w:hAnsi="方正仿宋_GBK" w:eastAsia="方正仿宋_GBK" w:cs="方正仿宋_GBK"/>
          <w:sz w:val="24"/>
          <w:szCs w:val="28"/>
          <w:u w:val="single"/>
        </w:rPr>
        <w:t>（项目名称：       ；项目编号：        ；分标号：   ）</w:t>
      </w:r>
      <w:r>
        <w:rPr>
          <w:rFonts w:hint="eastAsia" w:ascii="方正仿宋_GBK" w:hAnsi="方正仿宋_GBK" w:eastAsia="方正仿宋_GBK" w:cs="方正仿宋_GBK"/>
          <w:sz w:val="24"/>
          <w:szCs w:val="28"/>
        </w:rPr>
        <w:t>采购活动的竞标代表人，全权代表我公司处理在该项目活动中的一切事宜。代理期限从</w:t>
      </w:r>
      <w:r>
        <w:rPr>
          <w:rFonts w:hint="eastAsia" w:ascii="方正仿宋_GBK" w:hAnsi="方正仿宋_GBK" w:eastAsia="方正仿宋_GBK" w:cs="方正仿宋_GBK"/>
          <w:sz w:val="24"/>
          <w:szCs w:val="28"/>
          <w:u w:val="single"/>
        </w:rPr>
        <w:t xml:space="preserve">    年   月   日起至   年   月   日止</w:t>
      </w:r>
      <w:r>
        <w:rPr>
          <w:rFonts w:hint="eastAsia" w:ascii="方正仿宋_GBK" w:hAnsi="方正仿宋_GBK" w:eastAsia="方正仿宋_GBK" w:cs="方正仿宋_GBK"/>
          <w:sz w:val="24"/>
          <w:szCs w:val="28"/>
        </w:rPr>
        <w:t xml:space="preserve">。 </w:t>
      </w:r>
    </w:p>
    <w:p>
      <w:pPr>
        <w:spacing w:line="520" w:lineRule="exact"/>
        <w:rPr>
          <w:rFonts w:ascii="方正仿宋_GBK" w:hAnsi="方正仿宋_GBK" w:eastAsia="方正仿宋_GBK" w:cs="方正仿宋_GBK"/>
          <w:sz w:val="24"/>
          <w:szCs w:val="28"/>
        </w:rPr>
      </w:pPr>
    </w:p>
    <w:p>
      <w:pPr>
        <w:spacing w:line="520" w:lineRule="exact"/>
        <w:ind w:firstLine="360" w:firstLineChars="150"/>
        <w:rPr>
          <w:rFonts w:ascii="方正仿宋_GBK" w:hAnsi="方正仿宋_GBK" w:eastAsia="方正仿宋_GBK" w:cs="方正仿宋_GBK"/>
          <w:sz w:val="24"/>
          <w:szCs w:val="28"/>
          <w:u w:val="single"/>
        </w:rPr>
      </w:pPr>
      <w:r>
        <w:rPr>
          <w:rFonts w:hint="eastAsia" w:ascii="方正仿宋_GBK" w:hAnsi="方正仿宋_GBK" w:eastAsia="方正仿宋_GBK" w:cs="方正仿宋_GBK"/>
          <w:sz w:val="24"/>
          <w:szCs w:val="28"/>
        </w:rPr>
        <w:t>授权单位（盖章）：</w:t>
      </w:r>
      <w:r>
        <w:rPr>
          <w:rFonts w:hint="eastAsia" w:ascii="方正仿宋_GBK" w:hAnsi="方正仿宋_GBK" w:eastAsia="方正仿宋_GBK" w:cs="方正仿宋_GBK"/>
          <w:sz w:val="28"/>
          <w:szCs w:val="28"/>
          <w:u w:val="single"/>
        </w:rPr>
        <w:t xml:space="preserve">                       </w:t>
      </w:r>
    </w:p>
    <w:p>
      <w:pPr>
        <w:spacing w:line="520" w:lineRule="exact"/>
        <w:ind w:firstLine="360" w:firstLineChars="150"/>
        <w:rPr>
          <w:rFonts w:ascii="方正仿宋_GBK" w:hAnsi="方正仿宋_GBK" w:eastAsia="方正仿宋_GBK" w:cs="方正仿宋_GBK"/>
          <w:b/>
          <w:sz w:val="24"/>
          <w:szCs w:val="28"/>
        </w:rPr>
      </w:pPr>
      <w:r>
        <w:rPr>
          <w:rFonts w:hint="eastAsia" w:ascii="方正仿宋_GBK" w:hAnsi="方正仿宋_GBK" w:eastAsia="方正仿宋_GBK" w:cs="方正仿宋_GBK"/>
          <w:sz w:val="24"/>
          <w:szCs w:val="28"/>
        </w:rPr>
        <w:t>法定代表人（签字或盖章）：</w:t>
      </w:r>
      <w:r>
        <w:rPr>
          <w:rFonts w:hint="eastAsia" w:ascii="方正仿宋_GBK" w:hAnsi="方正仿宋_GBK" w:eastAsia="方正仿宋_GBK" w:cs="方正仿宋_GBK"/>
          <w:sz w:val="28"/>
          <w:szCs w:val="28"/>
          <w:u w:val="single"/>
        </w:rPr>
        <w:t xml:space="preserve">                       </w:t>
      </w:r>
    </w:p>
    <w:p>
      <w:pPr>
        <w:spacing w:line="520" w:lineRule="exact"/>
        <w:ind w:firstLine="360" w:firstLineChars="1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签发日期：</w:t>
      </w:r>
      <w:r>
        <w:rPr>
          <w:rFonts w:hint="eastAsia" w:ascii="方正仿宋_GBK" w:hAnsi="方正仿宋_GBK" w:eastAsia="方正仿宋_GBK" w:cs="方正仿宋_GBK"/>
          <w:sz w:val="24"/>
          <w:szCs w:val="28"/>
          <w:u w:val="single"/>
        </w:rPr>
        <w:t xml:space="preserve">    年   月   日</w:t>
      </w:r>
    </w:p>
    <w:p>
      <w:pPr>
        <w:spacing w:line="520" w:lineRule="exact"/>
        <w:rPr>
          <w:rFonts w:ascii="方正仿宋_GBK" w:hAnsi="方正仿宋_GBK" w:eastAsia="方正仿宋_GBK" w:cs="方正仿宋_GBK"/>
          <w:sz w:val="24"/>
          <w:szCs w:val="28"/>
        </w:rPr>
      </w:pPr>
    </w:p>
    <w:p>
      <w:pPr>
        <w:spacing w:line="52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附：代理人工作单位：</w:t>
      </w:r>
      <w:r>
        <w:rPr>
          <w:rFonts w:hint="eastAsia" w:ascii="方正仿宋_GBK" w:hAnsi="方正仿宋_GBK" w:eastAsia="方正仿宋_GBK" w:cs="方正仿宋_GBK"/>
          <w:sz w:val="28"/>
          <w:szCs w:val="28"/>
          <w:u w:val="single"/>
        </w:rPr>
        <w:t xml:space="preserve">                       </w:t>
      </w:r>
    </w:p>
    <w:p>
      <w:pPr>
        <w:spacing w:line="520" w:lineRule="exact"/>
        <w:ind w:firstLine="48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4"/>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4"/>
          <w:szCs w:val="28"/>
        </w:rPr>
        <w:t xml:space="preserve">        性别：</w:t>
      </w:r>
      <w:r>
        <w:rPr>
          <w:rFonts w:hint="eastAsia" w:ascii="方正仿宋_GBK" w:hAnsi="方正仿宋_GBK" w:eastAsia="方正仿宋_GBK" w:cs="方正仿宋_GBK"/>
          <w:sz w:val="28"/>
          <w:szCs w:val="28"/>
          <w:u w:val="single"/>
        </w:rPr>
        <w:t xml:space="preserve">                       </w:t>
      </w:r>
    </w:p>
    <w:p>
      <w:pPr>
        <w:spacing w:line="520" w:lineRule="exact"/>
        <w:ind w:firstLine="480" w:firstLineChars="200"/>
        <w:rPr>
          <w:rFonts w:ascii="方正仿宋_GBK" w:hAnsi="方正仿宋_GBK" w:eastAsia="方正仿宋_GBK" w:cs="方正仿宋_GBK"/>
          <w:sz w:val="24"/>
          <w:szCs w:val="28"/>
          <w:u w:val="single"/>
        </w:rPr>
      </w:pPr>
      <w:r>
        <w:rPr>
          <w:rFonts w:hint="eastAsia" w:ascii="方正仿宋_GBK" w:hAnsi="方正仿宋_GBK" w:eastAsia="方正仿宋_GBK" w:cs="方正仿宋_GBK"/>
          <w:sz w:val="24"/>
          <w:szCs w:val="28"/>
        </w:rPr>
        <w:t>身份证号码：</w:t>
      </w:r>
      <w:r>
        <w:rPr>
          <w:rFonts w:hint="eastAsia" w:ascii="方正仿宋_GBK" w:hAnsi="方正仿宋_GBK" w:eastAsia="方正仿宋_GBK" w:cs="方正仿宋_GBK"/>
          <w:sz w:val="28"/>
          <w:szCs w:val="28"/>
          <w:u w:val="single"/>
        </w:rPr>
        <w:t xml:space="preserve">                       </w:t>
      </w:r>
    </w:p>
    <w:p>
      <w:pPr>
        <w:adjustRightInd w:val="0"/>
        <w:snapToGrid w:val="0"/>
        <w:spacing w:line="520" w:lineRule="exact"/>
        <w:ind w:firstLine="480" w:firstLineChars="200"/>
        <w:rPr>
          <w:rFonts w:ascii="方正仿宋_GBK" w:hAnsi="方正仿宋_GBK" w:eastAsia="方正仿宋_GBK" w:cs="方正仿宋_GBK"/>
          <w:sz w:val="24"/>
          <w:szCs w:val="28"/>
          <w:u w:val="single"/>
        </w:rPr>
      </w:pPr>
    </w:p>
    <w:tbl>
      <w:tblPr>
        <w:tblStyle w:val="43"/>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jc w:val="center"/>
        </w:trPr>
        <w:tc>
          <w:tcPr>
            <w:tcW w:w="8657" w:type="dxa"/>
          </w:tcPr>
          <w:p>
            <w:pPr>
              <w:spacing w:line="30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被授权人身份证（复印件）</w:t>
            </w:r>
          </w:p>
        </w:tc>
      </w:tr>
    </w:tbl>
    <w:p>
      <w:pPr>
        <w:pStyle w:val="22"/>
        <w:spacing w:line="400" w:lineRule="exact"/>
        <w:rPr>
          <w:rFonts w:hint="eastAsia" w:ascii="方正仿宋_GBK" w:hAnsi="方正仿宋_GBK" w:eastAsia="方正仿宋_GBK" w:cs="方正仿宋_GBK"/>
          <w:kern w:val="0"/>
          <w:sz w:val="32"/>
          <w:szCs w:val="32"/>
        </w:rPr>
        <w:sectPr>
          <w:pgSz w:w="11906" w:h="16838"/>
          <w:pgMar w:top="1440" w:right="1800" w:bottom="1440" w:left="1800" w:header="851" w:footer="992" w:gutter="0"/>
          <w:pgNumType w:fmt="decimal"/>
          <w:cols w:space="720" w:num="1"/>
          <w:docGrid w:type="lines" w:linePitch="312" w:charSpace="0"/>
        </w:sectPr>
      </w:pPr>
    </w:p>
    <w:p>
      <w:pPr>
        <w:pStyle w:val="22"/>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kern w:val="0"/>
          <w:sz w:val="32"/>
          <w:szCs w:val="32"/>
        </w:rPr>
        <w:t>五、信用声明函（格式）</w:t>
      </w:r>
    </w:p>
    <w:p>
      <w:pPr>
        <w:jc w:val="center"/>
        <w:rPr>
          <w:rFonts w:ascii="方正仿宋_GBK" w:hAnsi="方正仿宋_GBK" w:eastAsia="方正仿宋_GBK" w:cs="方正仿宋_GBK"/>
          <w:b/>
          <w:sz w:val="32"/>
          <w:szCs w:val="30"/>
        </w:rPr>
      </w:pPr>
      <w:r>
        <w:rPr>
          <w:rFonts w:hint="eastAsia" w:ascii="方正仿宋_GBK" w:hAnsi="方正仿宋_GBK" w:eastAsia="方正仿宋_GBK" w:cs="方正仿宋_GBK"/>
          <w:b/>
          <w:sz w:val="32"/>
          <w:szCs w:val="30"/>
        </w:rPr>
        <w:t>信用声明函</w:t>
      </w:r>
    </w:p>
    <w:p>
      <w:pPr>
        <w:tabs>
          <w:tab w:val="left" w:pos="7200"/>
        </w:tabs>
        <w:spacing w:line="360" w:lineRule="auto"/>
        <w:rPr>
          <w:rFonts w:ascii="方正仿宋_GBK" w:hAnsi="方正仿宋_GBK" w:eastAsia="方正仿宋_GBK" w:cs="方正仿宋_GBK"/>
        </w:rPr>
      </w:pPr>
      <w:r>
        <w:rPr>
          <w:rFonts w:hint="eastAsia" w:ascii="方正仿宋_GBK" w:hAnsi="方正仿宋_GBK" w:eastAsia="方正仿宋_GBK" w:cs="方正仿宋_GBK"/>
        </w:rPr>
        <w:t>致：</w:t>
      </w:r>
      <w:r>
        <w:rPr>
          <w:rFonts w:hint="eastAsia" w:ascii="方正仿宋_GBK" w:hAnsi="方正仿宋_GBK" w:eastAsia="方正仿宋_GBK" w:cs="方正仿宋_GBK"/>
          <w:u w:val="single"/>
        </w:rPr>
        <w:t>广西北部湾银行股份有限公司</w:t>
      </w:r>
    </w:p>
    <w:p>
      <w:pPr>
        <w:tabs>
          <w:tab w:val="left" w:pos="7200"/>
        </w:tabs>
        <w:spacing w:line="420" w:lineRule="exact"/>
        <w:ind w:firstLine="420" w:firstLineChars="200"/>
        <w:rPr>
          <w:rFonts w:ascii="方正仿宋_GBK" w:hAnsi="方正仿宋_GBK" w:eastAsia="方正仿宋_GBK" w:cs="方正仿宋_GBK"/>
        </w:rPr>
      </w:pPr>
      <w:r>
        <w:rPr>
          <w:rFonts w:hint="eastAsia" w:ascii="方正仿宋_GBK" w:hAnsi="方正仿宋_GBK" w:eastAsia="方正仿宋_GBK" w:cs="方正仿宋_GBK"/>
        </w:rPr>
        <w:t>我司愿意参加贵</w:t>
      </w:r>
      <w:r>
        <w:rPr>
          <w:rFonts w:hint="eastAsia" w:ascii="方正仿宋_GBK" w:hAnsi="方正仿宋_GBK" w:eastAsia="方正仿宋_GBK" w:cs="方正仿宋_GBK"/>
          <w:lang w:eastAsia="zh-CN"/>
        </w:rPr>
        <w:t>行</w:t>
      </w:r>
      <w:r>
        <w:rPr>
          <w:rFonts w:hint="eastAsia" w:ascii="方正仿宋_GBK" w:hAnsi="方正仿宋_GBK" w:eastAsia="方正仿宋_GBK" w:cs="方正仿宋_GBK"/>
        </w:rPr>
        <w:t xml:space="preserve">组织的 </w:t>
      </w:r>
      <w:r>
        <w:rPr>
          <w:rFonts w:hint="eastAsia" w:ascii="方正仿宋_GBK" w:hAnsi="方正仿宋_GBK" w:eastAsia="方正仿宋_GBK" w:cs="方正仿宋_GBK"/>
          <w:u w:val="single"/>
        </w:rPr>
        <w:t xml:space="preserve">     (项目名称)      </w:t>
      </w:r>
      <w:r>
        <w:rPr>
          <w:rFonts w:hint="eastAsia" w:ascii="方正仿宋_GBK" w:hAnsi="方正仿宋_GBK" w:eastAsia="方正仿宋_GBK" w:cs="方正仿宋_GBK"/>
        </w:rPr>
        <w:t>（</w:t>
      </w:r>
      <w:r>
        <w:rPr>
          <w:rFonts w:hint="eastAsia" w:ascii="方正仿宋_GBK" w:hAnsi="方正仿宋_GBK" w:eastAsia="方正仿宋_GBK" w:cs="方正仿宋_GBK"/>
          <w:u w:val="single"/>
        </w:rPr>
        <w:t xml:space="preserve">项目编号：      </w:t>
      </w:r>
      <w:r>
        <w:rPr>
          <w:rFonts w:hint="eastAsia" w:ascii="方正仿宋_GBK" w:hAnsi="方正仿宋_GBK" w:eastAsia="方正仿宋_GBK" w:cs="方正仿宋_GBK"/>
        </w:rPr>
        <w:t>）项目的竞标，为便于贵</w:t>
      </w:r>
      <w:r>
        <w:rPr>
          <w:rFonts w:hint="eastAsia" w:ascii="方正仿宋_GBK" w:hAnsi="方正仿宋_GBK" w:eastAsia="方正仿宋_GBK" w:cs="方正仿宋_GBK"/>
          <w:lang w:eastAsia="zh-CN"/>
        </w:rPr>
        <w:t>行</w:t>
      </w:r>
      <w:r>
        <w:rPr>
          <w:rFonts w:hint="eastAsia" w:ascii="方正仿宋_GBK" w:hAnsi="方正仿宋_GBK" w:eastAsia="方正仿宋_GBK" w:cs="方正仿宋_GBK"/>
        </w:rPr>
        <w:t>公正、择优地确定成交人及其竞标货物和服务，我司就本次竞标有关事项郑重声明如下：</w:t>
      </w:r>
    </w:p>
    <w:p>
      <w:pPr>
        <w:spacing w:line="420" w:lineRule="exact"/>
        <w:ind w:firstLine="420" w:firstLineChars="200"/>
        <w:jc w:val="left"/>
        <w:rPr>
          <w:rFonts w:ascii="方正仿宋_GBK" w:hAnsi="方正仿宋_GBK" w:eastAsia="方正仿宋_GBK" w:cs="方正仿宋_GBK"/>
        </w:rPr>
      </w:pPr>
      <w:r>
        <w:rPr>
          <w:rFonts w:hint="eastAsia" w:ascii="方正仿宋_GBK" w:hAnsi="方正仿宋_GBK" w:eastAsia="方正仿宋_GBK" w:cs="方正仿宋_GBK"/>
        </w:rPr>
        <w:t>1. 我司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经营异常名录信息，我司对此声明负全部法律责任。</w:t>
      </w:r>
    </w:p>
    <w:p>
      <w:pPr>
        <w:spacing w:line="420" w:lineRule="exact"/>
        <w:ind w:firstLine="420" w:firstLineChars="200"/>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我司遵守国家有关法律、法规，具有良好的商业信誉和健全的财务会计制度</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在</w:t>
      </w:r>
      <w:r>
        <w:rPr>
          <w:rFonts w:hint="eastAsia" w:ascii="方正仿宋_GBK" w:hAnsi="方正仿宋_GBK" w:eastAsia="方正仿宋_GBK" w:cs="方正仿宋_GBK"/>
          <w:lang w:eastAsia="zh-CN"/>
        </w:rPr>
        <w:t>贵行</w:t>
      </w:r>
      <w:r>
        <w:rPr>
          <w:rFonts w:hint="eastAsia" w:ascii="方正仿宋_GBK" w:hAnsi="方正仿宋_GBK" w:eastAsia="方正仿宋_GBK" w:cs="方正仿宋_GBK"/>
        </w:rPr>
        <w:t>以往采购项目中没有过欺骗、欺诈等不良行为或不良记录</w:t>
      </w:r>
      <w:r>
        <w:rPr>
          <w:rFonts w:hint="eastAsia" w:ascii="方正仿宋_GBK" w:hAnsi="方正仿宋_GBK" w:eastAsia="方正仿宋_GBK" w:cs="方正仿宋_GBK"/>
          <w:lang w:eastAsia="zh-CN"/>
        </w:rPr>
        <w:t>。</w:t>
      </w:r>
    </w:p>
    <w:p>
      <w:pPr>
        <w:spacing w:line="420" w:lineRule="exact"/>
        <w:ind w:firstLine="420" w:firstLineChars="200"/>
        <w:jc w:val="left"/>
        <w:rPr>
          <w:rFonts w:ascii="方正仿宋_GBK" w:hAnsi="方正仿宋_GBK" w:eastAsia="方正仿宋_GBK" w:cs="方正仿宋_GBK"/>
        </w:rPr>
      </w:pP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 以上事项如有虚假或隐瞒，我</w:t>
      </w:r>
      <w:r>
        <w:rPr>
          <w:rFonts w:hint="eastAsia" w:ascii="方正仿宋_GBK" w:hAnsi="方正仿宋_GBK" w:eastAsia="方正仿宋_GBK" w:cs="方正仿宋_GBK"/>
          <w:lang w:eastAsia="zh-CN"/>
        </w:rPr>
        <w:t>司</w:t>
      </w:r>
      <w:r>
        <w:rPr>
          <w:rFonts w:hint="eastAsia" w:ascii="方正仿宋_GBK" w:hAnsi="方正仿宋_GBK" w:eastAsia="方正仿宋_GBK" w:cs="方正仿宋_GBK"/>
        </w:rPr>
        <w:t>愿意承担一切后果，并不再寻求任何旨在减轻或免除法律责任的辩解。</w:t>
      </w:r>
    </w:p>
    <w:p>
      <w:pPr>
        <w:spacing w:line="440" w:lineRule="exact"/>
        <w:ind w:firstLine="420" w:firstLineChars="200"/>
        <w:jc w:val="left"/>
        <w:rPr>
          <w:rFonts w:ascii="方正仿宋_GBK" w:hAnsi="方正仿宋_GBK" w:eastAsia="方正仿宋_GBK" w:cs="方正仿宋_GBK"/>
        </w:rPr>
      </w:pPr>
    </w:p>
    <w:p>
      <w:pPr>
        <w:pStyle w:val="2"/>
        <w:rPr>
          <w:rFonts w:ascii="方正仿宋_GBK" w:hAnsi="方正仿宋_GBK" w:eastAsia="方正仿宋_GBK" w:cs="方正仿宋_GBK"/>
        </w:rPr>
      </w:pPr>
    </w:p>
    <w:p>
      <w:pPr>
        <w:pStyle w:val="3"/>
        <w:rPr>
          <w:rFonts w:ascii="方正仿宋_GBK" w:hAnsi="方正仿宋_GBK" w:eastAsia="方正仿宋_GBK" w:cs="方正仿宋_GBK"/>
          <w:color w:val="auto"/>
        </w:rPr>
      </w:pPr>
    </w:p>
    <w:p>
      <w:pPr>
        <w:tabs>
          <w:tab w:val="left" w:pos="7200"/>
        </w:tabs>
        <w:spacing w:line="360" w:lineRule="auto"/>
        <w:ind w:firstLine="835" w:firstLineChars="398"/>
        <w:rPr>
          <w:rFonts w:ascii="方正仿宋_GBK" w:hAnsi="方正仿宋_GBK" w:eastAsia="方正仿宋_GBK" w:cs="方正仿宋_GBK"/>
          <w:u w:val="single"/>
        </w:rPr>
      </w:pPr>
      <w:r>
        <w:rPr>
          <w:rFonts w:hint="eastAsia" w:ascii="方正仿宋_GBK" w:hAnsi="方正仿宋_GBK" w:eastAsia="方正仿宋_GBK" w:cs="方正仿宋_GBK"/>
        </w:rPr>
        <w:t xml:space="preserve">                                 法定代表人签字或盖章：</w:t>
      </w:r>
      <w:r>
        <w:rPr>
          <w:rFonts w:hint="eastAsia" w:ascii="方正仿宋_GBK" w:hAnsi="方正仿宋_GBK" w:eastAsia="方正仿宋_GBK" w:cs="方正仿宋_GBK"/>
          <w:sz w:val="28"/>
          <w:szCs w:val="28"/>
          <w:u w:val="single"/>
        </w:rPr>
        <w:t xml:space="preserve">                       </w:t>
      </w:r>
    </w:p>
    <w:p>
      <w:pPr>
        <w:tabs>
          <w:tab w:val="left" w:pos="7200"/>
        </w:tabs>
        <w:spacing w:line="360" w:lineRule="auto"/>
        <w:ind w:firstLine="4187" w:firstLineChars="1994"/>
        <w:rPr>
          <w:rFonts w:ascii="方正仿宋_GBK" w:hAnsi="方正仿宋_GBK" w:eastAsia="方正仿宋_GBK" w:cs="方正仿宋_GBK"/>
        </w:rPr>
      </w:pPr>
      <w:r>
        <w:rPr>
          <w:rFonts w:hint="eastAsia" w:ascii="方正仿宋_GBK" w:hAnsi="方正仿宋_GBK" w:eastAsia="方正仿宋_GBK" w:cs="方正仿宋_GBK"/>
        </w:rPr>
        <w:t>磋商供应商（盖章）：</w:t>
      </w:r>
      <w:r>
        <w:rPr>
          <w:rFonts w:hint="eastAsia" w:ascii="方正仿宋_GBK" w:hAnsi="方正仿宋_GBK" w:eastAsia="方正仿宋_GBK" w:cs="方正仿宋_GBK"/>
          <w:sz w:val="28"/>
          <w:szCs w:val="28"/>
          <w:u w:val="single"/>
        </w:rPr>
        <w:t xml:space="preserve">                       </w:t>
      </w:r>
    </w:p>
    <w:p>
      <w:pPr>
        <w:snapToGrid w:val="0"/>
        <w:spacing w:before="50" w:after="156" w:afterLines="50" w:line="400" w:lineRule="exact"/>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rPr>
        <w:t xml:space="preserve">                                               年    月    日</w:t>
      </w:r>
    </w:p>
    <w:p>
      <w:pPr>
        <w:spacing w:line="420" w:lineRule="exact"/>
        <w:ind w:firstLine="422" w:firstLineChars="200"/>
        <w:jc w:val="left"/>
        <w:rPr>
          <w:rFonts w:ascii="方正仿宋_GBK" w:hAnsi="方正仿宋_GBK" w:eastAsia="方正仿宋_GBK" w:cs="方正仿宋_GBK"/>
          <w:b/>
        </w:rPr>
      </w:pPr>
    </w:p>
    <w:p>
      <w:pPr>
        <w:spacing w:line="420" w:lineRule="exact"/>
        <w:ind w:firstLine="422" w:firstLineChars="200"/>
        <w:jc w:val="left"/>
        <w:rPr>
          <w:rFonts w:ascii="方正仿宋_GBK" w:hAnsi="方正仿宋_GBK" w:eastAsia="方正仿宋_GBK" w:cs="方正仿宋_GBK"/>
          <w:b/>
        </w:rPr>
      </w:pPr>
      <w:r>
        <w:rPr>
          <w:rFonts w:hint="eastAsia" w:ascii="方正仿宋_GBK" w:hAnsi="方正仿宋_GBK" w:eastAsia="方正仿宋_GBK" w:cs="方正仿宋_GBK"/>
          <w:b/>
        </w:rPr>
        <w:t>说明：磋商供应商应通过“信用中国” (www.creditchina.gov.cn) 网站进行信用查询，包括：失信被执行人、重大税收违法失信主体、政府采购严重违法失信行为记录名单、经营异常名录信息共四个网页截图，网页截图须显示磋商供应商名称以及查询结果。</w:t>
      </w: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六、</w:t>
      </w:r>
      <w:r>
        <w:rPr>
          <w:rFonts w:hint="eastAsia" w:ascii="方正仿宋_GBK" w:hAnsi="方正仿宋_GBK" w:eastAsia="方正仿宋_GBK" w:cs="方正仿宋_GBK"/>
          <w:b/>
          <w:bCs/>
          <w:sz w:val="32"/>
          <w:szCs w:val="32"/>
        </w:rPr>
        <w:t>商务信誉、资质证书复印件等</w:t>
      </w: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snapToGrid w:val="0"/>
        <w:spacing w:before="50" w:after="156" w:afterLines="5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七、</w:t>
      </w:r>
      <w:r>
        <w:rPr>
          <w:rFonts w:hint="eastAsia" w:ascii="方正仿宋_GBK" w:hAnsi="方正仿宋_GBK" w:eastAsia="方正仿宋_GBK" w:cs="方正仿宋_GBK"/>
          <w:b/>
          <w:bCs/>
          <w:kern w:val="0"/>
          <w:sz w:val="32"/>
          <w:szCs w:val="32"/>
        </w:rPr>
        <w:t>类似案例的业绩证明文件：</w:t>
      </w:r>
    </w:p>
    <w:p>
      <w:pPr>
        <w:snapToGrid w:val="0"/>
        <w:ind w:left="480" w:hanging="480" w:hanging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磋商供应商同类项目实施情况一览表格式： </w:t>
      </w:r>
    </w:p>
    <w:p>
      <w:pPr>
        <w:snapToGrid w:val="0"/>
        <w:ind w:left="480" w:hanging="480" w:hangingChars="200"/>
        <w:rPr>
          <w:rFonts w:ascii="方正仿宋_GBK" w:hAnsi="方正仿宋_GBK" w:eastAsia="方正仿宋_GBK" w:cs="方正仿宋_GBK"/>
          <w:sz w:val="24"/>
        </w:rPr>
      </w:pPr>
    </w:p>
    <w:tbl>
      <w:tblPr>
        <w:tblStyle w:val="43"/>
        <w:tblW w:w="8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9"/>
        <w:gridCol w:w="1130"/>
        <w:gridCol w:w="1134"/>
        <w:gridCol w:w="1483"/>
        <w:gridCol w:w="1770"/>
        <w:gridCol w:w="14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5"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采购单位名称</w:t>
            </w:r>
          </w:p>
          <w:p>
            <w:pPr>
              <w:snapToGrid w:val="0"/>
              <w:spacing w:line="240" w:lineRule="exact"/>
              <w:jc w:val="center"/>
              <w:rPr>
                <w:rFonts w:ascii="方正仿宋_GBK" w:hAnsi="方正仿宋_GBK" w:eastAsia="方正仿宋_GBK" w:cs="方正仿宋_GBK"/>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项目起止日期</w:t>
            </w: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项目内容</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bCs/>
                <w:kern w:val="0"/>
                <w:szCs w:val="21"/>
              </w:rPr>
              <w:t>项目简介</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采购单位联系人及</w:t>
            </w:r>
          </w:p>
          <w:p>
            <w:pPr>
              <w:snapToGrid w:val="0"/>
              <w:spacing w:line="240" w:lineRule="exact"/>
              <w:jc w:val="center"/>
              <w:rPr>
                <w:rFonts w:ascii="方正仿宋_GBK" w:hAnsi="方正仿宋_GBK" w:eastAsia="方正仿宋_GBK" w:cs="方正仿宋_GBK"/>
                <w:sz w:val="18"/>
                <w:szCs w:val="20"/>
              </w:rPr>
            </w:pPr>
            <w:r>
              <w:rPr>
                <w:rFonts w:hint="eastAsia" w:ascii="方正仿宋_GBK" w:hAnsi="方正仿宋_GBK" w:eastAsia="方正仿宋_GBK" w:cs="方正仿宋_GBK"/>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kern w:val="0"/>
                <w:sz w:val="20"/>
                <w:szCs w:val="18"/>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r>
    </w:tbl>
    <w:p>
      <w:pPr>
        <w:snapToGrid w:val="0"/>
        <w:spacing w:before="152" w:after="160"/>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注：以合同或本公告发布日回溯半年之内的中标通知书为依据，合同首页、尾页及实施内容部分复印件需装订在投标文件中。</w:t>
      </w:r>
    </w:p>
    <w:p>
      <w:pPr>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磋商供应商名称（盖章）：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法定代表人或委托代理人签字或盖章：</w:t>
      </w:r>
      <w:r>
        <w:rPr>
          <w:rFonts w:hint="eastAsia" w:ascii="方正仿宋_GBK" w:hAnsi="方正仿宋_GBK" w:eastAsia="方正仿宋_GBK" w:cs="方正仿宋_GBK"/>
          <w:sz w:val="28"/>
          <w:szCs w:val="28"/>
          <w:u w:val="single"/>
        </w:rPr>
        <w:t xml:space="preserve">                       </w:t>
      </w:r>
    </w:p>
    <w:p>
      <w:pPr>
        <w:snapToGrid w:val="0"/>
        <w:spacing w:before="50" w:after="156" w:afterLines="50"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8"/>
          <w:szCs w:val="28"/>
          <w:u w:val="single"/>
        </w:rPr>
        <w:t xml:space="preserve">                       </w:t>
      </w: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hint="eastAsia"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kern w:val="0"/>
          <w:sz w:val="32"/>
          <w:szCs w:val="32"/>
        </w:rPr>
        <w:t>八、拟投入人员情况表（格式）</w:t>
      </w:r>
    </w:p>
    <w:p>
      <w:pPr>
        <w:spacing w:line="360" w:lineRule="auto"/>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（一）拟承诺投入实施团队人员状况表</w:t>
      </w:r>
    </w:p>
    <w:tbl>
      <w:tblPr>
        <w:tblStyle w:val="4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96"/>
        <w:gridCol w:w="625"/>
        <w:gridCol w:w="555"/>
        <w:gridCol w:w="2580"/>
        <w:gridCol w:w="1230"/>
        <w:gridCol w:w="190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16" w:type="dxa"/>
            <w:vAlign w:val="center"/>
          </w:tcPr>
          <w:p>
            <w:pPr>
              <w:spacing w:line="320" w:lineRule="exact"/>
              <w:ind w:right="-110"/>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796" w:type="dxa"/>
            <w:vAlign w:val="center"/>
          </w:tcPr>
          <w:p>
            <w:pPr>
              <w:spacing w:line="320" w:lineRule="exact"/>
              <w:ind w:right="-11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625" w:type="dxa"/>
            <w:vAlign w:val="center"/>
          </w:tcPr>
          <w:p>
            <w:pPr>
              <w:spacing w:line="320" w:lineRule="exact"/>
              <w:ind w:right="12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555" w:type="dxa"/>
            <w:vAlign w:val="center"/>
          </w:tcPr>
          <w:p>
            <w:pPr>
              <w:spacing w:line="320" w:lineRule="exact"/>
              <w:ind w:right="12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年龄</w:t>
            </w:r>
          </w:p>
        </w:tc>
        <w:tc>
          <w:tcPr>
            <w:tcW w:w="2580" w:type="dxa"/>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参与方式</w:t>
            </w:r>
          </w:p>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(全程驻场或阶段驻场)</w:t>
            </w:r>
          </w:p>
        </w:tc>
        <w:tc>
          <w:tcPr>
            <w:tcW w:w="1230" w:type="dxa"/>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从业时间（年）</w:t>
            </w:r>
          </w:p>
        </w:tc>
        <w:tc>
          <w:tcPr>
            <w:tcW w:w="1905" w:type="dxa"/>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拟任本项目角色</w:t>
            </w:r>
          </w:p>
        </w:tc>
        <w:tc>
          <w:tcPr>
            <w:tcW w:w="1086" w:type="dxa"/>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96" w:type="dxa"/>
          </w:tcPr>
          <w:p>
            <w:pPr>
              <w:spacing w:line="360" w:lineRule="auto"/>
              <w:ind w:firstLine="540" w:firstLineChars="225"/>
              <w:rPr>
                <w:rFonts w:ascii="方正仿宋_GBK" w:hAnsi="方正仿宋_GBK" w:eastAsia="方正仿宋_GBK" w:cs="方正仿宋_GBK"/>
                <w:sz w:val="24"/>
              </w:rPr>
            </w:pPr>
          </w:p>
        </w:tc>
        <w:tc>
          <w:tcPr>
            <w:tcW w:w="625" w:type="dxa"/>
          </w:tcPr>
          <w:p>
            <w:pPr>
              <w:spacing w:line="360" w:lineRule="auto"/>
              <w:ind w:firstLine="540" w:firstLineChars="225"/>
              <w:rPr>
                <w:rFonts w:ascii="方正仿宋_GBK" w:hAnsi="方正仿宋_GBK" w:eastAsia="方正仿宋_GBK" w:cs="方正仿宋_GBK"/>
                <w:sz w:val="24"/>
              </w:rPr>
            </w:pPr>
          </w:p>
        </w:tc>
        <w:tc>
          <w:tcPr>
            <w:tcW w:w="555" w:type="dxa"/>
          </w:tcPr>
          <w:p>
            <w:pPr>
              <w:spacing w:line="360" w:lineRule="auto"/>
              <w:ind w:firstLine="540" w:firstLineChars="225"/>
              <w:rPr>
                <w:rFonts w:ascii="方正仿宋_GBK" w:hAnsi="方正仿宋_GBK" w:eastAsia="方正仿宋_GBK" w:cs="方正仿宋_GBK"/>
                <w:sz w:val="24"/>
              </w:rPr>
            </w:pPr>
          </w:p>
        </w:tc>
        <w:tc>
          <w:tcPr>
            <w:tcW w:w="2580" w:type="dxa"/>
          </w:tcPr>
          <w:p>
            <w:pPr>
              <w:spacing w:line="360" w:lineRule="auto"/>
              <w:ind w:firstLine="540" w:firstLineChars="225"/>
              <w:rPr>
                <w:rFonts w:ascii="方正仿宋_GBK" w:hAnsi="方正仿宋_GBK" w:eastAsia="方正仿宋_GBK" w:cs="方正仿宋_GBK"/>
                <w:sz w:val="24"/>
              </w:rPr>
            </w:pPr>
          </w:p>
        </w:tc>
        <w:tc>
          <w:tcPr>
            <w:tcW w:w="1230" w:type="dxa"/>
          </w:tcPr>
          <w:p>
            <w:pPr>
              <w:spacing w:line="360" w:lineRule="auto"/>
              <w:ind w:firstLine="540" w:firstLineChars="225"/>
              <w:rPr>
                <w:rFonts w:ascii="方正仿宋_GBK" w:hAnsi="方正仿宋_GBK" w:eastAsia="方正仿宋_GBK" w:cs="方正仿宋_GBK"/>
                <w:sz w:val="24"/>
              </w:rPr>
            </w:pPr>
          </w:p>
        </w:tc>
        <w:tc>
          <w:tcPr>
            <w:tcW w:w="1905" w:type="dxa"/>
          </w:tcPr>
          <w:p>
            <w:pPr>
              <w:spacing w:line="360" w:lineRule="auto"/>
              <w:ind w:firstLine="540" w:firstLineChars="225"/>
              <w:rPr>
                <w:rFonts w:ascii="方正仿宋_GBK" w:hAnsi="方正仿宋_GBK" w:eastAsia="方正仿宋_GBK" w:cs="方正仿宋_GBK"/>
                <w:sz w:val="24"/>
              </w:rPr>
            </w:pPr>
          </w:p>
        </w:tc>
        <w:tc>
          <w:tcPr>
            <w:tcW w:w="1086" w:type="dxa"/>
          </w:tcPr>
          <w:p>
            <w:pPr>
              <w:spacing w:line="360" w:lineRule="auto"/>
              <w:ind w:firstLine="540" w:firstLineChars="225"/>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796" w:type="dxa"/>
          </w:tcPr>
          <w:p>
            <w:pPr>
              <w:spacing w:line="360" w:lineRule="auto"/>
              <w:ind w:firstLine="540" w:firstLineChars="225"/>
              <w:rPr>
                <w:rFonts w:ascii="方正仿宋_GBK" w:hAnsi="方正仿宋_GBK" w:eastAsia="方正仿宋_GBK" w:cs="方正仿宋_GBK"/>
                <w:sz w:val="24"/>
              </w:rPr>
            </w:pPr>
          </w:p>
        </w:tc>
        <w:tc>
          <w:tcPr>
            <w:tcW w:w="625" w:type="dxa"/>
          </w:tcPr>
          <w:p>
            <w:pPr>
              <w:spacing w:line="360" w:lineRule="auto"/>
              <w:ind w:firstLine="540" w:firstLineChars="225"/>
              <w:rPr>
                <w:rFonts w:ascii="方正仿宋_GBK" w:hAnsi="方正仿宋_GBK" w:eastAsia="方正仿宋_GBK" w:cs="方正仿宋_GBK"/>
                <w:sz w:val="24"/>
              </w:rPr>
            </w:pPr>
          </w:p>
        </w:tc>
        <w:tc>
          <w:tcPr>
            <w:tcW w:w="555" w:type="dxa"/>
          </w:tcPr>
          <w:p>
            <w:pPr>
              <w:spacing w:line="360" w:lineRule="auto"/>
              <w:ind w:firstLine="540" w:firstLineChars="225"/>
              <w:rPr>
                <w:rFonts w:ascii="方正仿宋_GBK" w:hAnsi="方正仿宋_GBK" w:eastAsia="方正仿宋_GBK" w:cs="方正仿宋_GBK"/>
                <w:sz w:val="24"/>
              </w:rPr>
            </w:pPr>
          </w:p>
        </w:tc>
        <w:tc>
          <w:tcPr>
            <w:tcW w:w="2580" w:type="dxa"/>
          </w:tcPr>
          <w:p>
            <w:pPr>
              <w:spacing w:line="360" w:lineRule="auto"/>
              <w:ind w:firstLine="540" w:firstLineChars="225"/>
              <w:rPr>
                <w:rFonts w:ascii="方正仿宋_GBK" w:hAnsi="方正仿宋_GBK" w:eastAsia="方正仿宋_GBK" w:cs="方正仿宋_GBK"/>
                <w:sz w:val="24"/>
              </w:rPr>
            </w:pPr>
          </w:p>
        </w:tc>
        <w:tc>
          <w:tcPr>
            <w:tcW w:w="1230" w:type="dxa"/>
          </w:tcPr>
          <w:p>
            <w:pPr>
              <w:spacing w:line="360" w:lineRule="auto"/>
              <w:ind w:firstLine="540" w:firstLineChars="225"/>
              <w:rPr>
                <w:rFonts w:ascii="方正仿宋_GBK" w:hAnsi="方正仿宋_GBK" w:eastAsia="方正仿宋_GBK" w:cs="方正仿宋_GBK"/>
                <w:sz w:val="24"/>
              </w:rPr>
            </w:pPr>
          </w:p>
        </w:tc>
        <w:tc>
          <w:tcPr>
            <w:tcW w:w="1905" w:type="dxa"/>
          </w:tcPr>
          <w:p>
            <w:pPr>
              <w:spacing w:line="360" w:lineRule="auto"/>
              <w:ind w:firstLine="540" w:firstLineChars="225"/>
              <w:rPr>
                <w:rFonts w:ascii="方正仿宋_GBK" w:hAnsi="方正仿宋_GBK" w:eastAsia="方正仿宋_GBK" w:cs="方正仿宋_GBK"/>
                <w:sz w:val="24"/>
              </w:rPr>
            </w:pPr>
          </w:p>
        </w:tc>
        <w:tc>
          <w:tcPr>
            <w:tcW w:w="1086" w:type="dxa"/>
          </w:tcPr>
          <w:p>
            <w:pPr>
              <w:spacing w:line="360" w:lineRule="auto"/>
              <w:ind w:firstLine="540" w:firstLineChars="225"/>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w:t>
            </w:r>
          </w:p>
        </w:tc>
        <w:tc>
          <w:tcPr>
            <w:tcW w:w="796" w:type="dxa"/>
          </w:tcPr>
          <w:p>
            <w:pPr>
              <w:spacing w:line="360" w:lineRule="auto"/>
              <w:ind w:firstLine="540" w:firstLineChars="225"/>
              <w:rPr>
                <w:rFonts w:ascii="方正仿宋_GBK" w:hAnsi="方正仿宋_GBK" w:eastAsia="方正仿宋_GBK" w:cs="方正仿宋_GBK"/>
                <w:sz w:val="24"/>
              </w:rPr>
            </w:pPr>
          </w:p>
        </w:tc>
        <w:tc>
          <w:tcPr>
            <w:tcW w:w="625" w:type="dxa"/>
          </w:tcPr>
          <w:p>
            <w:pPr>
              <w:spacing w:line="360" w:lineRule="auto"/>
              <w:ind w:firstLine="540" w:firstLineChars="225"/>
              <w:jc w:val="center"/>
              <w:rPr>
                <w:rFonts w:ascii="方正仿宋_GBK" w:hAnsi="方正仿宋_GBK" w:eastAsia="方正仿宋_GBK" w:cs="方正仿宋_GBK"/>
                <w:sz w:val="24"/>
              </w:rPr>
            </w:pPr>
          </w:p>
        </w:tc>
        <w:tc>
          <w:tcPr>
            <w:tcW w:w="555" w:type="dxa"/>
          </w:tcPr>
          <w:p>
            <w:pPr>
              <w:spacing w:line="360" w:lineRule="auto"/>
              <w:ind w:firstLine="540" w:firstLineChars="225"/>
              <w:rPr>
                <w:rFonts w:ascii="方正仿宋_GBK" w:hAnsi="方正仿宋_GBK" w:eastAsia="方正仿宋_GBK" w:cs="方正仿宋_GBK"/>
                <w:sz w:val="24"/>
              </w:rPr>
            </w:pPr>
          </w:p>
        </w:tc>
        <w:tc>
          <w:tcPr>
            <w:tcW w:w="2580" w:type="dxa"/>
          </w:tcPr>
          <w:p>
            <w:pPr>
              <w:spacing w:line="360" w:lineRule="auto"/>
              <w:ind w:firstLine="540" w:firstLineChars="225"/>
              <w:rPr>
                <w:rFonts w:ascii="方正仿宋_GBK" w:hAnsi="方正仿宋_GBK" w:eastAsia="方正仿宋_GBK" w:cs="方正仿宋_GBK"/>
                <w:sz w:val="24"/>
              </w:rPr>
            </w:pPr>
          </w:p>
        </w:tc>
        <w:tc>
          <w:tcPr>
            <w:tcW w:w="1230" w:type="dxa"/>
          </w:tcPr>
          <w:p>
            <w:pPr>
              <w:spacing w:line="360" w:lineRule="auto"/>
              <w:ind w:firstLine="540" w:firstLineChars="225"/>
              <w:rPr>
                <w:rFonts w:ascii="方正仿宋_GBK" w:hAnsi="方正仿宋_GBK" w:eastAsia="方正仿宋_GBK" w:cs="方正仿宋_GBK"/>
                <w:sz w:val="24"/>
              </w:rPr>
            </w:pPr>
          </w:p>
        </w:tc>
        <w:tc>
          <w:tcPr>
            <w:tcW w:w="1905" w:type="dxa"/>
          </w:tcPr>
          <w:p>
            <w:pPr>
              <w:spacing w:line="360" w:lineRule="auto"/>
              <w:ind w:firstLine="540" w:firstLineChars="225"/>
              <w:rPr>
                <w:rFonts w:ascii="方正仿宋_GBK" w:hAnsi="方正仿宋_GBK" w:eastAsia="方正仿宋_GBK" w:cs="方正仿宋_GBK"/>
                <w:sz w:val="24"/>
              </w:rPr>
            </w:pPr>
          </w:p>
        </w:tc>
        <w:tc>
          <w:tcPr>
            <w:tcW w:w="1086" w:type="dxa"/>
          </w:tcPr>
          <w:p>
            <w:pPr>
              <w:spacing w:line="360" w:lineRule="auto"/>
              <w:ind w:firstLine="540" w:firstLineChars="225"/>
              <w:rPr>
                <w:rFonts w:ascii="方正仿宋_GBK" w:hAnsi="方正仿宋_GBK" w:eastAsia="方正仿宋_GBK" w:cs="方正仿宋_GBK"/>
                <w:sz w:val="24"/>
              </w:rPr>
            </w:pPr>
          </w:p>
        </w:tc>
      </w:tr>
    </w:tbl>
    <w:p>
      <w:pPr>
        <w:spacing w:line="360" w:lineRule="auto"/>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（二）拟投入本项目实施人员个人简历表</w:t>
      </w:r>
    </w:p>
    <w:tbl>
      <w:tblPr>
        <w:tblStyle w:val="43"/>
        <w:tblW w:w="9765" w:type="dxa"/>
        <w:tblInd w:w="8" w:type="dxa"/>
        <w:tblLayout w:type="fixed"/>
        <w:tblCellMar>
          <w:top w:w="0" w:type="dxa"/>
          <w:left w:w="0" w:type="dxa"/>
          <w:bottom w:w="0" w:type="dxa"/>
          <w:right w:w="0" w:type="dxa"/>
        </w:tblCellMar>
      </w:tblPr>
      <w:tblGrid>
        <w:gridCol w:w="852"/>
        <w:gridCol w:w="735"/>
        <w:gridCol w:w="1191"/>
        <w:gridCol w:w="418"/>
        <w:gridCol w:w="694"/>
        <w:gridCol w:w="1412"/>
        <w:gridCol w:w="69"/>
        <w:gridCol w:w="814"/>
        <w:gridCol w:w="1125"/>
        <w:gridCol w:w="1170"/>
        <w:gridCol w:w="1285"/>
      </w:tblGrid>
      <w:tr>
        <w:tblPrEx>
          <w:tblCellMar>
            <w:top w:w="0" w:type="dxa"/>
            <w:left w:w="0" w:type="dxa"/>
            <w:bottom w:w="0" w:type="dxa"/>
            <w:right w:w="0" w:type="dxa"/>
          </w:tblCellMar>
        </w:tblPrEx>
        <w:trPr>
          <w:trHeight w:val="512" w:hRule="atLeast"/>
        </w:trPr>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姓名</w:t>
            </w:r>
          </w:p>
        </w:tc>
        <w:tc>
          <w:tcPr>
            <w:tcW w:w="19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1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性别</w:t>
            </w:r>
          </w:p>
        </w:tc>
        <w:tc>
          <w:tcPr>
            <w:tcW w:w="1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8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年龄</w:t>
            </w: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502" w:hRule="atLeast"/>
        </w:trPr>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职务</w:t>
            </w:r>
          </w:p>
        </w:tc>
        <w:tc>
          <w:tcPr>
            <w:tcW w:w="19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1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职称</w:t>
            </w:r>
          </w:p>
        </w:tc>
        <w:tc>
          <w:tcPr>
            <w:tcW w:w="1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8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学历</w:t>
            </w: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健康状况</w:t>
            </w:r>
          </w:p>
        </w:tc>
        <w:tc>
          <w:tcPr>
            <w:tcW w:w="12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51" w:hRule="atLeast"/>
        </w:trPr>
        <w:tc>
          <w:tcPr>
            <w:tcW w:w="277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毕业院校/专业</w:t>
            </w:r>
          </w:p>
        </w:tc>
        <w:tc>
          <w:tcPr>
            <w:tcW w:w="2593"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939"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参加工作时间</w:t>
            </w: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57" w:hRule="atLeast"/>
        </w:trPr>
        <w:tc>
          <w:tcPr>
            <w:tcW w:w="277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技术职称编号</w:t>
            </w:r>
          </w:p>
        </w:tc>
        <w:tc>
          <w:tcPr>
            <w:tcW w:w="6987"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44" w:hRule="atLeast"/>
        </w:trPr>
        <w:tc>
          <w:tcPr>
            <w:tcW w:w="9765"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类似项目服务情况</w:t>
            </w:r>
          </w:p>
        </w:tc>
      </w:tr>
      <w:tr>
        <w:tblPrEx>
          <w:tblCellMar>
            <w:top w:w="0" w:type="dxa"/>
            <w:left w:w="0" w:type="dxa"/>
            <w:bottom w:w="0" w:type="dxa"/>
            <w:right w:w="0" w:type="dxa"/>
          </w:tblCellMar>
        </w:tblPrEx>
        <w:tc>
          <w:tcPr>
            <w:tcW w:w="15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项目实施单位</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项目名称</w:t>
            </w:r>
          </w:p>
        </w:tc>
        <w:tc>
          <w:tcPr>
            <w:tcW w:w="21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项目起止日期</w:t>
            </w:r>
          </w:p>
        </w:tc>
        <w:tc>
          <w:tcPr>
            <w:tcW w:w="20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项目角色</w:t>
            </w: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工作职责及工作内容</w:t>
            </w:r>
          </w:p>
        </w:tc>
      </w:tr>
      <w:tr>
        <w:tblPrEx>
          <w:tblCellMar>
            <w:top w:w="0" w:type="dxa"/>
            <w:left w:w="0" w:type="dxa"/>
            <w:bottom w:w="0" w:type="dxa"/>
            <w:right w:w="0" w:type="dxa"/>
          </w:tblCellMar>
        </w:tblPrEx>
        <w:tc>
          <w:tcPr>
            <w:tcW w:w="15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6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1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0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c>
          <w:tcPr>
            <w:tcW w:w="15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6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1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0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bl>
    <w:p>
      <w:pPr>
        <w:spacing w:line="360" w:lineRule="exact"/>
        <w:rPr>
          <w:rFonts w:ascii="方正仿宋_GBK" w:hAnsi="方正仿宋_GBK" w:eastAsia="方正仿宋_GBK" w:cs="方正仿宋_GBK"/>
          <w:b/>
          <w:sz w:val="24"/>
        </w:rPr>
      </w:pPr>
      <w:r>
        <w:rPr>
          <w:rFonts w:hint="eastAsia" w:ascii="方正仿宋_GBK" w:hAnsi="方正仿宋_GBK" w:eastAsia="方正仿宋_GBK" w:cs="方正仿宋_GBK"/>
          <w:b/>
          <w:sz w:val="24"/>
        </w:rPr>
        <w:t>说明：</w:t>
      </w:r>
    </w:p>
    <w:p>
      <w:pPr>
        <w:autoSpaceDE w:val="0"/>
        <w:autoSpaceDN w:val="0"/>
        <w:adjustRightInd w:val="0"/>
        <w:spacing w:line="360" w:lineRule="exact"/>
        <w:jc w:val="left"/>
        <w:rPr>
          <w:rFonts w:ascii="方正仿宋_GBK" w:hAnsi="方正仿宋_GBK" w:eastAsia="方正仿宋_GBK" w:cs="方正仿宋_GBK"/>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kern w:val="0"/>
          <w:sz w:val="24"/>
        </w:rPr>
        <w:t xml:space="preserve"> 项目团队须提供人员简历、学历证书复印件、职称证书/资质证书复印件（如有）、近半年内连续三个月的</w:t>
      </w:r>
      <w:r>
        <w:rPr>
          <w:rFonts w:hint="eastAsia" w:ascii="方正仿宋_GBK" w:hAnsi="方正仿宋_GBK" w:eastAsia="方正仿宋_GBK" w:cs="方正仿宋_GBK"/>
          <w:b/>
          <w:color w:val="auto"/>
          <w:kern w:val="0"/>
          <w:sz w:val="24"/>
        </w:rPr>
        <w:t>社保证明</w:t>
      </w:r>
      <w:r>
        <w:rPr>
          <w:rFonts w:hint="eastAsia" w:ascii="方正仿宋_GBK" w:hAnsi="方正仿宋_GBK" w:eastAsia="方正仿宋_GBK" w:cs="方正仿宋_GBK"/>
          <w:b/>
          <w:kern w:val="0"/>
          <w:sz w:val="24"/>
        </w:rPr>
        <w:t>。简历格式自拟，内容须包括但不限于姓名、职务、性别、年龄、毕业院校/专业、工作经历，在以往项目中的岗位、工作职责及工作内容、所起的作用，在本项目的工作职责及工作内容等。如有用户方提供的针对项目、项目组、成员的工作鉴定表、用户评价表、表扬信、获奖证书，随附件一并提供。</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磋商供应商名称（盖章）：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法定代表人或委托代理人签字或盖章：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8"/>
          <w:szCs w:val="28"/>
          <w:u w:val="single"/>
        </w:rPr>
        <w:t xml:space="preserve">                       </w:t>
      </w:r>
    </w:p>
    <w:p>
      <w:pPr>
        <w:snapToGrid w:val="0"/>
        <w:spacing w:before="50" w:after="156" w:afterLines="50"/>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九、工作服务方案（格式自拟）</w:t>
      </w:r>
    </w:p>
    <w:p>
      <w:pPr>
        <w:pStyle w:val="172"/>
        <w:adjustRightInd w:val="0"/>
        <w:snapToGrid w:val="0"/>
        <w:spacing w:before="0" w:after="0" w:line="360" w:lineRule="auto"/>
        <w:jc w:val="left"/>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可包括（但不限于）下列内容：</w:t>
      </w:r>
    </w:p>
    <w:p>
      <w:pPr>
        <w:pStyle w:val="2"/>
        <w:numPr>
          <w:ilvl w:val="0"/>
          <w:numId w:val="4"/>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项目建设方案（格式自拟，内容包括但不限于本采购文件的“第二章 采购需求”中的要求）；</w:t>
      </w:r>
    </w:p>
    <w:p>
      <w:pPr>
        <w:pStyle w:val="2"/>
        <w:numPr>
          <w:ilvl w:val="0"/>
          <w:numId w:val="4"/>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技术方案；</w:t>
      </w:r>
    </w:p>
    <w:p>
      <w:pPr>
        <w:pStyle w:val="2"/>
        <w:numPr>
          <w:ilvl w:val="0"/>
          <w:numId w:val="4"/>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实施方案及</w:t>
      </w:r>
      <w:r>
        <w:rPr>
          <w:rFonts w:hint="eastAsia" w:ascii="方正仿宋_GBK" w:hAnsi="方正仿宋_GBK" w:eastAsia="方正仿宋_GBK" w:cs="方正仿宋_GBK"/>
          <w:kern w:val="2"/>
          <w:sz w:val="24"/>
          <w:szCs w:val="24"/>
        </w:rPr>
        <w:t>运营服务方案；</w:t>
      </w:r>
    </w:p>
    <w:p>
      <w:pPr>
        <w:pStyle w:val="2"/>
        <w:numPr>
          <w:ilvl w:val="0"/>
          <w:numId w:val="4"/>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售后服务及培训服务方案；</w:t>
      </w:r>
    </w:p>
    <w:p>
      <w:pPr>
        <w:pStyle w:val="2"/>
        <w:numPr>
          <w:ilvl w:val="0"/>
          <w:numId w:val="4"/>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其它需要说明的问题(如有，格式和内容自拟)。</w:t>
      </w:r>
    </w:p>
    <w:p>
      <w:pPr>
        <w:pStyle w:val="7"/>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sz w:val="24"/>
        </w:rPr>
      </w:pPr>
      <w:r>
        <w:rPr>
          <w:rFonts w:hint="eastAsia" w:ascii="方正仿宋_GBK" w:hAnsi="方正仿宋_GBK" w:eastAsia="方正仿宋_GBK" w:cs="方正仿宋_GBK"/>
          <w:sz w:val="24"/>
        </w:rPr>
        <w:t>磋商供应商名称（盖章）：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法定代表人或委托代理人签字或盖章：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rPr>
      </w:pPr>
    </w:p>
    <w:p>
      <w:pPr>
        <w:rPr>
          <w:rFonts w:ascii="方正仿宋_GBK" w:hAnsi="方正仿宋_GBK" w:eastAsia="方正仿宋_GBK" w:cs="方正仿宋_GBK"/>
        </w:rPr>
      </w:pPr>
    </w:p>
    <w:p>
      <w:pPr>
        <w:pStyle w:val="7"/>
        <w:rPr>
          <w:rFonts w:ascii="方正仿宋_GBK" w:hAnsi="方正仿宋_GBK" w:eastAsia="方正仿宋_GBK" w:cs="方正仿宋_GBK"/>
        </w:rPr>
      </w:pPr>
    </w:p>
    <w:p>
      <w:pPr>
        <w:snapToGrid w:val="0"/>
        <w:spacing w:before="50" w:after="50" w:line="520" w:lineRule="exact"/>
        <w:ind w:right="-44" w:rightChars="-21"/>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十、其他文书、文件格式</w:t>
      </w:r>
    </w:p>
    <w:p>
      <w:pPr>
        <w:snapToGrid w:val="0"/>
        <w:spacing w:before="50" w:after="156" w:afterLines="50" w:line="440" w:lineRule="exact"/>
        <w:jc w:val="left"/>
        <w:rPr>
          <w:rFonts w:ascii="方正仿宋_GBK" w:hAnsi="方正仿宋_GBK" w:eastAsia="方正仿宋_GBK" w:cs="方正仿宋_GBK"/>
          <w:b/>
          <w:sz w:val="28"/>
          <w:szCs w:val="28"/>
        </w:rPr>
      </w:pPr>
    </w:p>
    <w:p>
      <w:pPr>
        <w:snapToGrid w:val="0"/>
        <w:spacing w:before="50" w:after="156" w:afterLines="50" w:line="440" w:lineRule="exact"/>
        <w:jc w:val="left"/>
        <w:rPr>
          <w:rFonts w:ascii="方正仿宋_GBK" w:hAnsi="方正仿宋_GBK" w:eastAsia="方正仿宋_GBK" w:cs="方正仿宋_GBK"/>
          <w:b/>
          <w:sz w:val="28"/>
          <w:szCs w:val="28"/>
        </w:rPr>
      </w:pPr>
    </w:p>
    <w:p>
      <w:pPr>
        <w:snapToGrid w:val="0"/>
        <w:spacing w:before="50" w:after="156" w:afterLines="50" w:line="440" w:lineRule="exact"/>
        <w:jc w:val="left"/>
        <w:rPr>
          <w:rFonts w:ascii="方正仿宋_GBK" w:hAnsi="方正仿宋_GBK" w:eastAsia="方正仿宋_GBK" w:cs="方正仿宋_GBK"/>
          <w:b/>
          <w:sz w:val="28"/>
          <w:szCs w:val="28"/>
        </w:rPr>
      </w:pPr>
    </w:p>
    <w:p>
      <w:pPr>
        <w:pStyle w:val="52"/>
        <w:rPr>
          <w:rFonts w:ascii="方正仿宋_GBK" w:hAnsi="方正仿宋_GBK" w:eastAsia="方正仿宋_GBK" w:cs="方正仿宋_GBK"/>
          <w:b/>
          <w:sz w:val="28"/>
          <w:szCs w:val="28"/>
        </w:rPr>
      </w:pPr>
    </w:p>
    <w:p>
      <w:pPr>
        <w:pStyle w:val="52"/>
        <w:rPr>
          <w:rFonts w:ascii="方正仿宋_GBK" w:hAnsi="方正仿宋_GBK" w:eastAsia="方正仿宋_GBK" w:cs="方正仿宋_GBK"/>
          <w:b/>
          <w:sz w:val="28"/>
          <w:szCs w:val="28"/>
        </w:rPr>
      </w:pPr>
    </w:p>
    <w:p>
      <w:pPr>
        <w:rPr>
          <w:rFonts w:ascii="方正仿宋_GBK" w:hAnsi="方正仿宋_GBK" w:eastAsia="方正仿宋_GBK" w:cs="方正仿宋_GBK"/>
          <w:b/>
          <w:sz w:val="28"/>
          <w:szCs w:val="28"/>
        </w:rPr>
      </w:pPr>
    </w:p>
    <w:p>
      <w:pPr>
        <w:pStyle w:val="52"/>
        <w:rPr>
          <w:rFonts w:ascii="方正仿宋_GBK" w:hAnsi="方正仿宋_GBK" w:eastAsia="方正仿宋_GBK" w:cs="方正仿宋_GBK"/>
          <w:b/>
          <w:sz w:val="28"/>
          <w:szCs w:val="28"/>
        </w:rPr>
      </w:pPr>
    </w:p>
    <w:p>
      <w:pPr>
        <w:rPr>
          <w:rFonts w:ascii="方正仿宋_GBK" w:hAnsi="方正仿宋_GBK" w:eastAsia="方正仿宋_GBK" w:cs="方正仿宋_GBK"/>
        </w:rPr>
      </w:pPr>
    </w:p>
    <w:p>
      <w:pPr>
        <w:snapToGrid w:val="0"/>
        <w:spacing w:before="50"/>
        <w:jc w:val="left"/>
        <w:rPr>
          <w:rFonts w:ascii="方正仿宋_GBK" w:hAnsi="方正仿宋_GBK" w:eastAsia="方正仿宋_GBK" w:cs="方正仿宋_GBK"/>
          <w:b/>
          <w:sz w:val="28"/>
          <w:szCs w:val="28"/>
        </w:rPr>
      </w:pPr>
    </w:p>
    <w:p>
      <w:pPr>
        <w:snapToGrid w:val="0"/>
        <w:spacing w:before="50"/>
        <w:jc w:val="left"/>
        <w:rPr>
          <w:rFonts w:ascii="方正仿宋_GBK" w:hAnsi="方正仿宋_GBK" w:eastAsia="方正仿宋_GBK" w:cs="方正仿宋_GBK"/>
          <w:b/>
          <w:sz w:val="28"/>
          <w:szCs w:val="28"/>
        </w:rPr>
      </w:pPr>
    </w:p>
    <w:p>
      <w:pPr>
        <w:snapToGrid w:val="0"/>
        <w:spacing w:before="50"/>
        <w:jc w:val="left"/>
        <w:rPr>
          <w:rFonts w:ascii="方正仿宋_GBK" w:hAnsi="方正仿宋_GBK" w:eastAsia="方正仿宋_GBK" w:cs="方正仿宋_GBK"/>
          <w:b/>
          <w:sz w:val="28"/>
          <w:szCs w:val="28"/>
        </w:rPr>
      </w:pPr>
    </w:p>
    <w:p>
      <w:pPr>
        <w:snapToGrid w:val="0"/>
        <w:ind w:right="482"/>
        <w:jc w:val="center"/>
        <w:outlineLvl w:val="0"/>
        <w:rPr>
          <w:rFonts w:ascii="方正仿宋_GBK" w:hAnsi="方正仿宋_GBK" w:eastAsia="方正仿宋_GBK" w:cs="方正仿宋_GBK"/>
          <w:b/>
          <w:bCs/>
          <w:sz w:val="32"/>
          <w:szCs w:val="32"/>
        </w:rPr>
      </w:pPr>
      <w:bookmarkStart w:id="8" w:name="_Toc58064536"/>
      <w:r>
        <w:rPr>
          <w:rFonts w:hint="eastAsia" w:ascii="方正仿宋_GBK" w:hAnsi="方正仿宋_GBK" w:eastAsia="方正仿宋_GBK" w:cs="方正仿宋_GBK"/>
          <w:b/>
          <w:bCs/>
          <w:sz w:val="32"/>
          <w:szCs w:val="32"/>
        </w:rPr>
        <w:t>第五章 合同格式</w:t>
      </w:r>
      <w:bookmarkEnd w:id="8"/>
    </w:p>
    <w:p>
      <w:pPr>
        <w:pStyle w:val="52"/>
        <w:rPr>
          <w:rFonts w:ascii="方正仿宋_GBK" w:hAnsi="方正仿宋_GBK" w:eastAsia="方正仿宋_GBK" w:cs="方正仿宋_GBK"/>
        </w:rPr>
      </w:pPr>
    </w:p>
    <w:p>
      <w:pPr>
        <w:snapToGrid w:val="0"/>
        <w:spacing w:line="360" w:lineRule="auto"/>
        <w:ind w:firstLine="422" w:firstLineChars="200"/>
        <w:contextualSpacing/>
        <w:rPr>
          <w:rFonts w:hint="eastAsia" w:ascii="宋体" w:hAnsi="宋体" w:cs="宋体"/>
          <w:b/>
          <w:szCs w:val="21"/>
        </w:rPr>
        <w:sectPr>
          <w:pgSz w:w="11906" w:h="16838"/>
          <w:pgMar w:top="1440" w:right="1800" w:bottom="1440" w:left="1800" w:header="851" w:footer="992" w:gutter="0"/>
          <w:pgNumType w:fmt="decimal"/>
          <w:cols w:space="720" w:num="1"/>
          <w:docGrid w:type="lines" w:linePitch="312" w:charSpace="0"/>
        </w:sectPr>
      </w:pPr>
    </w:p>
    <w:p>
      <w:pPr>
        <w:snapToGrid w:val="0"/>
        <w:spacing w:line="360" w:lineRule="auto"/>
        <w:ind w:firstLine="422" w:firstLineChars="200"/>
        <w:contextualSpacing/>
        <w:rPr>
          <w:rFonts w:hint="eastAsia" w:ascii="宋体" w:hAnsi="宋体" w:eastAsia="宋体" w:cs="宋体"/>
          <w:b/>
          <w:szCs w:val="21"/>
          <w:lang w:val="en-US" w:eastAsia="zh-CN"/>
        </w:rPr>
      </w:pPr>
      <w:r>
        <w:rPr>
          <w:rFonts w:hint="eastAsia" w:ascii="宋体" w:hAnsi="宋体" w:cs="宋体"/>
          <w:b/>
          <w:szCs w:val="21"/>
        </w:rPr>
        <w:t>合同编号：</w:t>
      </w:r>
    </w:p>
    <w:p>
      <w:pPr>
        <w:snapToGrid w:val="0"/>
        <w:spacing w:line="360" w:lineRule="auto"/>
        <w:ind w:firstLine="422" w:firstLineChars="200"/>
        <w:contextualSpacing/>
        <w:rPr>
          <w:rFonts w:hint="eastAsia" w:ascii="宋体" w:hAnsi="宋体" w:cs="宋体"/>
          <w:b/>
          <w:szCs w:val="21"/>
        </w:rPr>
      </w:pPr>
    </w:p>
    <w:p>
      <w:pPr>
        <w:snapToGrid w:val="0"/>
        <w:spacing w:line="360" w:lineRule="auto"/>
        <w:ind w:firstLine="422" w:firstLineChars="200"/>
        <w:contextualSpacing/>
        <w:rPr>
          <w:rFonts w:hint="eastAsia" w:ascii="宋体" w:hAnsi="宋体" w:cs="宋体"/>
          <w:b/>
          <w:szCs w:val="21"/>
        </w:rPr>
      </w:pPr>
    </w:p>
    <w:p>
      <w:pPr>
        <w:spacing w:line="360" w:lineRule="auto"/>
        <w:jc w:val="center"/>
        <w:rPr>
          <w:rFonts w:hint="eastAsia" w:ascii="黑体" w:hAnsi="黑体" w:eastAsia="黑体" w:cs="黑体"/>
          <w:b/>
          <w:sz w:val="44"/>
          <w:szCs w:val="44"/>
        </w:rPr>
      </w:pPr>
      <w:r>
        <w:rPr>
          <w:rFonts w:hint="eastAsia" w:ascii="黑体" w:hAnsi="黑体" w:eastAsia="黑体" w:cs="黑体"/>
          <w:b/>
          <w:sz w:val="44"/>
          <w:szCs w:val="44"/>
        </w:rPr>
        <w:t>广西北部湾银行股份有限公司</w:t>
      </w:r>
    </w:p>
    <w:p>
      <w:pPr>
        <w:spacing w:line="360" w:lineRule="auto"/>
        <w:jc w:val="center"/>
        <w:rPr>
          <w:rFonts w:hint="eastAsia" w:ascii="宋体" w:hAnsi="宋体" w:cs="宋体"/>
          <w:b/>
          <w:sz w:val="32"/>
          <w:szCs w:val="32"/>
          <w:lang w:val="en-US" w:eastAsia="zh-CN"/>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黑体" w:eastAsia="黑体"/>
          <w:b/>
          <w:sz w:val="44"/>
          <w:szCs w:val="44"/>
          <w:u w:val="single"/>
        </w:rPr>
        <w:t>维保</w:t>
      </w:r>
      <w:r>
        <w:rPr>
          <w:rFonts w:hint="eastAsia" w:ascii="黑体" w:eastAsia="黑体"/>
          <w:b/>
          <w:sz w:val="44"/>
          <w:szCs w:val="44"/>
        </w:rPr>
        <w:t>服务</w:t>
      </w:r>
      <w:r>
        <w:rPr>
          <w:rFonts w:hint="eastAsia" w:ascii="黑体" w:hAnsi="黑体" w:eastAsia="黑体" w:cs="黑体"/>
          <w:b/>
          <w:sz w:val="44"/>
          <w:szCs w:val="44"/>
          <w:lang w:val="en-US" w:eastAsia="zh-CN"/>
        </w:rPr>
        <w:t>合同（维保服务类）</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r>
        <w:rPr>
          <w:rFonts w:hint="eastAsia" w:ascii="宋体" w:hAnsi="宋体" w:cs="宋体"/>
          <w:szCs w:val="21"/>
        </w:rPr>
        <w:t>甲    方：</w:t>
      </w:r>
      <w:r>
        <w:rPr>
          <w:rFonts w:hint="eastAsia" w:ascii="宋体" w:hAnsi="宋体" w:cs="宋体"/>
          <w:szCs w:val="21"/>
          <w:u w:val="single"/>
        </w:rPr>
        <w:t xml:space="preserve">  广西北部湾银行股份有限公司   </w:t>
      </w:r>
    </w:p>
    <w:p>
      <w:pPr>
        <w:spacing w:line="360" w:lineRule="auto"/>
        <w:ind w:firstLine="1365" w:firstLineChars="650"/>
        <w:rPr>
          <w:rFonts w:hint="eastAsia" w:ascii="宋体" w:hAnsi="宋体" w:cs="宋体"/>
          <w:szCs w:val="21"/>
        </w:rPr>
      </w:pPr>
      <w:r>
        <w:rPr>
          <w:rFonts w:hint="eastAsia" w:ascii="宋体" w:hAnsi="宋体" w:cs="宋体"/>
          <w:szCs w:val="21"/>
        </w:rPr>
        <w:t>乙    方：</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360" w:lineRule="auto"/>
        <w:ind w:firstLine="1365" w:firstLineChars="650"/>
        <w:rPr>
          <w:rFonts w:hint="eastAsia" w:ascii="宋体" w:hAnsi="宋体" w:cs="宋体"/>
          <w:szCs w:val="21"/>
        </w:rPr>
      </w:pPr>
      <w:r>
        <w:rPr>
          <w:rFonts w:hint="eastAsia" w:ascii="宋体" w:hAnsi="宋体" w:cs="宋体"/>
          <w:szCs w:val="21"/>
        </w:rPr>
        <w:t>签订地点：</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广西南宁            </w:t>
      </w:r>
    </w:p>
    <w:p>
      <w:pPr>
        <w:spacing w:line="360" w:lineRule="auto"/>
        <w:ind w:firstLine="1365" w:firstLineChars="650"/>
        <w:rPr>
          <w:rFonts w:hint="eastAsia" w:ascii="宋体" w:hAnsi="宋体" w:cs="宋体"/>
          <w:szCs w:val="21"/>
        </w:rPr>
      </w:pPr>
      <w:r>
        <w:rPr>
          <w:rFonts w:hint="eastAsia" w:ascii="宋体" w:hAnsi="宋体" w:cs="宋体"/>
          <w:szCs w:val="21"/>
        </w:rPr>
        <w:t>签订</w:t>
      </w:r>
      <w:r>
        <w:rPr>
          <w:rFonts w:hint="eastAsia" w:ascii="宋体" w:hAnsi="宋体" w:cs="宋体"/>
          <w:szCs w:val="21"/>
          <w:lang w:val="en-US" w:eastAsia="zh-CN"/>
        </w:rPr>
        <w:t>时间</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u w:val="single"/>
          <w:lang w:val="en-US" w:eastAsia="zh-CN"/>
        </w:rPr>
        <w:t xml:space="preserve">       20XX年XX月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spacing w:line="360" w:lineRule="auto"/>
        <w:ind w:firstLine="1365" w:firstLineChars="650"/>
        <w:rPr>
          <w:rFonts w:hint="eastAsia"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Cs/>
          <w:sz w:val="21"/>
          <w:szCs w:val="21"/>
        </w:rPr>
        <w:sectPr>
          <w:pgSz w:w="11906" w:h="16838"/>
          <w:pgMar w:top="1304" w:right="1133" w:bottom="1304" w:left="1134" w:header="720" w:footer="720" w:gutter="0"/>
          <w:pgNumType w:fmt="decimal"/>
          <w:cols w:space="720" w:num="1"/>
          <w:titlePg/>
          <w:docGrid w:type="lines" w:linePitch="312" w:charSpace="0"/>
        </w:sectPr>
      </w:pPr>
      <w:r>
        <w:rPr>
          <w:rFonts w:hint="eastAsia" w:ascii="宋体" w:hAnsi="宋体" w:cs="宋体"/>
          <w:bCs/>
          <w:szCs w:val="21"/>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甲方</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广西北部湾银行股份有限公司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法定代表人（负责人）</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黎栋国</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住所（通讯地址）</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广西壮族自治区南宁市良庆区云英路8号五象总部大厦A座</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邮政编码</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530028</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w:t>
      </w:r>
      <w:r>
        <w:rPr>
          <w:rFonts w:hint="eastAsia" w:asciiTheme="minorEastAsia" w:hAnsiTheme="minorEastAsia" w:eastAsiaTheme="minorEastAsia" w:cstheme="minorEastAsia"/>
          <w:bCs/>
          <w:sz w:val="21"/>
          <w:szCs w:val="21"/>
          <w:lang w:val="en-US" w:eastAsia="zh-CN"/>
        </w:rPr>
        <w:t>人</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联系人</w:t>
      </w:r>
      <w:r>
        <w:rPr>
          <w:rFonts w:hint="eastAsia" w:asciiTheme="minorEastAsia" w:hAnsiTheme="minorEastAsia" w:eastAsiaTheme="minorEastAsia" w:cstheme="minorEastAsia"/>
          <w:bCs/>
          <w:sz w:val="21"/>
          <w:szCs w:val="21"/>
        </w:rPr>
        <w:t>电话</w:t>
      </w:r>
      <w:r>
        <w:rPr>
          <w:rFonts w:hint="eastAsia" w:asciiTheme="minorEastAsia" w:hAnsiTheme="minorEastAsia" w:eastAsiaTheme="minorEastAsia" w:cstheme="minorEastAsia"/>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联系人</w:t>
      </w:r>
      <w:r>
        <w:rPr>
          <w:rFonts w:hint="eastAsia" w:asciiTheme="minorEastAsia" w:hAnsiTheme="minorEastAsia" w:eastAsiaTheme="minorEastAsia" w:cstheme="minorEastAsia"/>
          <w:bCs/>
          <w:sz w:val="21"/>
          <w:szCs w:val="21"/>
        </w:rPr>
        <w:t>电子邮箱</w:t>
      </w:r>
      <w:r>
        <w:rPr>
          <w:rFonts w:hint="eastAsia" w:asciiTheme="minorEastAsia" w:hAnsiTheme="minorEastAsia" w:eastAsiaTheme="minorEastAsia" w:cstheme="minorEastAsia"/>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乙方：</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法定代表人（负责人）</w:t>
      </w:r>
      <w:r>
        <w:rPr>
          <w:rFonts w:hint="eastAsia" w:asciiTheme="minorEastAsia" w:hAnsiTheme="minorEastAsia" w:eastAsiaTheme="minorEastAsia" w:cstheme="minorEastAsia"/>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住所（通讯地址）</w:t>
      </w:r>
      <w:r>
        <w:rPr>
          <w:rFonts w:hint="eastAsia" w:asciiTheme="minorEastAsia" w:hAnsiTheme="minorEastAsia" w:eastAsiaTheme="minorEastAsia" w:cstheme="minorEastAsia"/>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邮政编码</w:t>
      </w:r>
      <w:r>
        <w:rPr>
          <w:rFonts w:hint="eastAsia" w:asciiTheme="minorEastAsia" w:hAnsiTheme="minorEastAsia" w:eastAsiaTheme="minorEastAsia" w:cstheme="minorEastAsia"/>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w:t>
      </w:r>
      <w:r>
        <w:rPr>
          <w:rFonts w:hint="eastAsia" w:asciiTheme="minorEastAsia" w:hAnsiTheme="minorEastAsia" w:eastAsiaTheme="minorEastAsia" w:cstheme="minorEastAsia"/>
          <w:bCs/>
          <w:sz w:val="21"/>
          <w:szCs w:val="21"/>
          <w:lang w:val="en-US" w:eastAsia="zh-CN"/>
        </w:rPr>
        <w:t>人</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联系人</w:t>
      </w:r>
      <w:r>
        <w:rPr>
          <w:rFonts w:hint="eastAsia" w:asciiTheme="minorEastAsia" w:hAnsiTheme="minorEastAsia" w:eastAsiaTheme="minorEastAsia" w:cstheme="minorEastAsia"/>
          <w:bCs/>
          <w:sz w:val="21"/>
          <w:szCs w:val="21"/>
        </w:rPr>
        <w:t>电话</w:t>
      </w:r>
      <w:r>
        <w:rPr>
          <w:rFonts w:hint="eastAsia" w:asciiTheme="minorEastAsia" w:hAnsiTheme="minorEastAsia" w:eastAsiaTheme="minorEastAsia" w:cstheme="minorEastAsia"/>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426" w:leftChars="203"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联系人</w:t>
      </w:r>
      <w:r>
        <w:rPr>
          <w:rFonts w:hint="eastAsia" w:asciiTheme="minorEastAsia" w:hAnsiTheme="minorEastAsia" w:eastAsiaTheme="minorEastAsia" w:cstheme="minorEastAsia"/>
          <w:bCs/>
          <w:sz w:val="21"/>
          <w:szCs w:val="21"/>
        </w:rPr>
        <w:t>电子邮箱</w:t>
      </w:r>
      <w:r>
        <w:rPr>
          <w:rFonts w:hint="eastAsia" w:asciiTheme="minorEastAsia" w:hAnsiTheme="minorEastAsia" w:eastAsiaTheme="minorEastAsia" w:cstheme="minorEastAsia"/>
          <w:bCs/>
          <w:sz w:val="21"/>
          <w:szCs w:val="21"/>
          <w:lang w:eastAsia="zh-CN"/>
        </w:rPr>
        <w:t>：</w:t>
      </w:r>
    </w:p>
    <w:p>
      <w:pPr>
        <w:pStyle w:val="52"/>
        <w:keepNext w:val="0"/>
        <w:keepLines w:val="0"/>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甲乙双方根据《中华人民共和国民法典》及相关法律法规，本着平等、自愿、诚实、信用的原则，就乙方</w:t>
      </w:r>
      <w:r>
        <w:rPr>
          <w:rFonts w:hint="eastAsia" w:asciiTheme="minorEastAsia" w:hAnsiTheme="minorEastAsia" w:eastAsiaTheme="minorEastAsia" w:cstheme="minorEastAsia"/>
          <w:sz w:val="21"/>
          <w:szCs w:val="21"/>
          <w:u w:val="single"/>
        </w:rPr>
        <w:t>根据甲方用户方需求为甲方提供服务</w:t>
      </w:r>
      <w:r>
        <w:rPr>
          <w:rFonts w:hint="eastAsia" w:asciiTheme="minorEastAsia" w:hAnsiTheme="minorEastAsia" w:eastAsiaTheme="minorEastAsia" w:cstheme="minorEastAsia"/>
          <w:sz w:val="21"/>
          <w:szCs w:val="21"/>
        </w:rPr>
        <w:t>事宜，订立如下合同，以兹双方共同遵守：</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一、服务项目名称</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维保服务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二、</w:t>
      </w:r>
      <w:r>
        <w:rPr>
          <w:rFonts w:hint="eastAsia" w:asciiTheme="minorEastAsia" w:hAnsiTheme="minorEastAsia" w:eastAsiaTheme="minorEastAsia" w:cstheme="minorEastAsia"/>
          <w:b/>
          <w:sz w:val="21"/>
          <w:szCs w:val="21"/>
        </w:rPr>
        <w:t>服务内容及期限</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服务内容：</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i/>
          <w:sz w:val="21"/>
          <w:szCs w:val="21"/>
          <w:lang w:val="en-US" w:eastAsia="zh-CN"/>
        </w:rPr>
      </w:pPr>
      <w:r>
        <w:rPr>
          <w:rFonts w:hint="eastAsia" w:asciiTheme="minorEastAsia" w:hAnsiTheme="minorEastAsia" w:eastAsiaTheme="minorEastAsia" w:cstheme="minorEastAsia"/>
          <w:sz w:val="21"/>
          <w:szCs w:val="21"/>
          <w:lang w:val="en-US" w:eastAsia="zh-CN"/>
        </w:rPr>
        <w:t>具体</w:t>
      </w:r>
      <w:r>
        <w:rPr>
          <w:rFonts w:hint="eastAsia" w:asciiTheme="minorEastAsia" w:hAnsiTheme="minorEastAsia" w:eastAsiaTheme="minorEastAsia" w:cstheme="minorEastAsia"/>
          <w:sz w:val="21"/>
          <w:szCs w:val="21"/>
        </w:rPr>
        <w:t>服务内容，详见</w:t>
      </w:r>
      <w:r>
        <w:rPr>
          <w:rFonts w:hint="eastAsia" w:asciiTheme="minorEastAsia" w:hAnsiTheme="minorEastAsia" w:eastAsiaTheme="minorEastAsia" w:cstheme="minorEastAsia"/>
          <w:sz w:val="21"/>
          <w:szCs w:val="21"/>
          <w:u w:val="none"/>
        </w:rPr>
        <w:t>附件</w:t>
      </w:r>
      <w:r>
        <w:rPr>
          <w:rFonts w:hint="eastAsia" w:asciiTheme="minorEastAsia" w:hAnsiTheme="minorEastAsia" w:eastAsiaTheme="minorEastAsia" w:cstheme="minorEastAsia"/>
          <w:sz w:val="21"/>
          <w:szCs w:val="21"/>
          <w:u w:val="none"/>
          <w:lang w:val="en-US" w:eastAsia="zh-CN"/>
        </w:rPr>
        <w:t>2《服务内容》。</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在合同履行过程中，如甲方需对服务内容进行增加或变更，乙方应以甲方实际需求为准，但甲方应向乙方发出书面变更通知，根据变更要求的范围，甲乙双方可以对服务费用重新进行磋商并共同签署补充协议，甲方就变更后乙方提供服务所支付的服务费用以补充协议为准。</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服务期限：</w:t>
      </w:r>
      <w:r>
        <w:rPr>
          <w:rFonts w:hint="eastAsia" w:asciiTheme="minorEastAsia" w:hAnsiTheme="minorEastAsia" w:eastAsiaTheme="minorEastAsia" w:cstheme="minorEastAsia"/>
          <w:color w:val="auto"/>
          <w:sz w:val="21"/>
          <w:szCs w:val="21"/>
        </w:rPr>
        <w:t>合同签订之日起至</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三、</w:t>
      </w:r>
      <w:r>
        <w:rPr>
          <w:rFonts w:hint="eastAsia" w:asciiTheme="minorEastAsia" w:hAnsiTheme="minorEastAsia" w:eastAsiaTheme="minorEastAsia" w:cstheme="minorEastAsia"/>
          <w:b/>
          <w:sz w:val="21"/>
          <w:szCs w:val="21"/>
        </w:rPr>
        <w:t>合同总金额及付款方式</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kern w:val="0"/>
          <w:sz w:val="21"/>
          <w:szCs w:val="21"/>
        </w:rPr>
        <w:t>本合同</w:t>
      </w:r>
      <w:r>
        <w:rPr>
          <w:rFonts w:hint="eastAsia" w:asciiTheme="minorEastAsia" w:hAnsiTheme="minorEastAsia" w:eastAsiaTheme="minorEastAsia" w:cstheme="minorEastAsia"/>
          <w:kern w:val="0"/>
          <w:sz w:val="21"/>
          <w:szCs w:val="21"/>
          <w:lang w:val="en-US" w:eastAsia="zh-CN"/>
        </w:rPr>
        <w:t>费用</w:t>
      </w:r>
      <w:r>
        <w:rPr>
          <w:rFonts w:hint="eastAsia" w:asciiTheme="minorEastAsia" w:hAnsiTheme="minorEastAsia" w:eastAsiaTheme="minorEastAsia" w:cstheme="minorEastAsia"/>
          <w:kern w:val="0"/>
          <w:sz w:val="21"/>
          <w:szCs w:val="21"/>
        </w:rPr>
        <w:t>以人民币</w:t>
      </w:r>
      <w:r>
        <w:rPr>
          <w:rFonts w:hint="eastAsia" w:asciiTheme="minorEastAsia" w:hAnsiTheme="minorEastAsia" w:eastAsiaTheme="minorEastAsia" w:cstheme="minorEastAsia"/>
          <w:kern w:val="0"/>
          <w:sz w:val="21"/>
          <w:szCs w:val="21"/>
          <w:lang w:val="en-US" w:eastAsia="zh-CN"/>
        </w:rPr>
        <w:t>结算</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系统维护服务费用</w:t>
      </w:r>
      <w:r>
        <w:rPr>
          <w:rFonts w:hint="eastAsia" w:asciiTheme="minorEastAsia" w:hAnsiTheme="minorEastAsia" w:eastAsiaTheme="minorEastAsia" w:cstheme="minorEastAsia"/>
          <w:b w:val="0"/>
          <w:bCs w:val="0"/>
          <w:kern w:val="0"/>
          <w:sz w:val="21"/>
          <w:szCs w:val="21"/>
        </w:rPr>
        <w:t>为</w:t>
      </w:r>
      <w:r>
        <w:rPr>
          <w:rFonts w:hint="eastAsia" w:asciiTheme="minorEastAsia" w:hAnsiTheme="minorEastAsia" w:eastAsiaTheme="minorEastAsia" w:cstheme="minorEastAsia"/>
          <w:b w:val="0"/>
          <w:bCs w:val="0"/>
          <w:kern w:val="0"/>
          <w:sz w:val="21"/>
          <w:szCs w:val="21"/>
          <w:u w:val="single"/>
        </w:rPr>
        <w:t>￥</w:t>
      </w:r>
      <w:r>
        <w:rPr>
          <w:rFonts w:hint="eastAsia" w:asciiTheme="minorEastAsia" w:hAnsiTheme="minorEastAsia" w:eastAsiaTheme="minorEastAsia" w:cstheme="minorEastAsia"/>
          <w:b w:val="0"/>
          <w:bCs w:val="0"/>
          <w:kern w:val="0"/>
          <w:sz w:val="21"/>
          <w:szCs w:val="21"/>
          <w:u w:val="single"/>
          <w:lang w:eastAsia="zh-CN"/>
        </w:rPr>
        <w:t xml:space="preserve"> </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color w:val="000000"/>
          <w:kern w:val="0"/>
          <w:sz w:val="21"/>
          <w:szCs w:val="21"/>
          <w:u w:val="single"/>
          <w:lang w:bidi="ar"/>
        </w:rPr>
        <w:t>元</w:t>
      </w:r>
      <w:r>
        <w:rPr>
          <w:rFonts w:hint="eastAsia" w:asciiTheme="minorEastAsia" w:hAnsiTheme="minorEastAsia" w:eastAsiaTheme="minorEastAsia" w:cstheme="minorEastAsia"/>
          <w:b w:val="0"/>
          <w:bCs w:val="0"/>
          <w:kern w:val="0"/>
          <w:sz w:val="21"/>
          <w:szCs w:val="21"/>
        </w:rPr>
        <w:t>（大写：</w:t>
      </w:r>
      <w:r>
        <w:rPr>
          <w:rFonts w:hint="eastAsia" w:asciiTheme="minorEastAsia" w:hAnsiTheme="minorEastAsia" w:eastAsiaTheme="minorEastAsia" w:cstheme="minorEastAsia"/>
          <w:b w:val="0"/>
          <w:bCs w:val="0"/>
          <w:kern w:val="0"/>
          <w:sz w:val="21"/>
          <w:szCs w:val="21"/>
          <w:lang w:val="en-US" w:eastAsia="zh-CN"/>
        </w:rPr>
        <w:t>人民币</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color w:val="000000"/>
          <w:sz w:val="21"/>
          <w:szCs w:val="21"/>
          <w:highlight w:val="none"/>
          <w:u w:val="single"/>
        </w:rPr>
        <w:t xml:space="preserve"> </w:t>
      </w:r>
      <w:r>
        <w:rPr>
          <w:rFonts w:hint="eastAsia" w:asciiTheme="minorEastAsia" w:hAnsiTheme="minorEastAsia" w:eastAsiaTheme="minorEastAsia" w:cstheme="minorEastAsia"/>
          <w:b w:val="0"/>
          <w:bCs w:val="0"/>
          <w:kern w:val="0"/>
          <w:sz w:val="21"/>
          <w:szCs w:val="21"/>
        </w:rPr>
        <w:t>）</w:t>
      </w:r>
      <w:r>
        <w:rPr>
          <w:rFonts w:hint="eastAsia" w:asciiTheme="minorEastAsia" w:hAnsiTheme="minorEastAsia" w:eastAsiaTheme="minorEastAsia" w:cstheme="minorEastAsia"/>
          <w:bCs/>
          <w:sz w:val="21"/>
          <w:szCs w:val="21"/>
        </w:rPr>
        <w:t xml:space="preserve"> ,其中不含税价</w:t>
      </w:r>
      <w:r>
        <w:rPr>
          <w:rFonts w:hint="eastAsia" w:asciiTheme="minorEastAsia" w:hAnsiTheme="minorEastAsia" w:eastAsiaTheme="minorEastAsia" w:cstheme="minorEastAsia"/>
          <w:b w:val="0"/>
          <w:bCs w:val="0"/>
          <w:kern w:val="0"/>
          <w:sz w:val="21"/>
          <w:szCs w:val="21"/>
        </w:rPr>
        <w:t>为</w:t>
      </w:r>
      <w:r>
        <w:rPr>
          <w:rFonts w:hint="eastAsia" w:asciiTheme="minorEastAsia" w:hAnsiTheme="minorEastAsia" w:eastAsiaTheme="minorEastAsia" w:cstheme="minorEastAsia"/>
          <w:b w:val="0"/>
          <w:bCs w:val="0"/>
          <w:kern w:val="0"/>
          <w:sz w:val="21"/>
          <w:szCs w:val="21"/>
          <w:u w:val="single"/>
        </w:rPr>
        <w:t>￥</w:t>
      </w:r>
      <w:r>
        <w:rPr>
          <w:rFonts w:hint="eastAsia" w:asciiTheme="minorEastAsia" w:hAnsiTheme="minorEastAsia" w:eastAsiaTheme="minorEastAsia" w:cstheme="minorEastAsia"/>
          <w:b w:val="0"/>
          <w:bCs w:val="0"/>
          <w:kern w:val="0"/>
          <w:sz w:val="21"/>
          <w:szCs w:val="21"/>
          <w:u w:val="single"/>
          <w:lang w:eastAsia="zh-CN"/>
        </w:rPr>
        <w:t xml:space="preserve"> </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color w:val="000000"/>
          <w:kern w:val="0"/>
          <w:sz w:val="21"/>
          <w:szCs w:val="21"/>
          <w:u w:val="single"/>
          <w:lang w:bidi="ar"/>
        </w:rPr>
        <w:t>元</w:t>
      </w:r>
      <w:r>
        <w:rPr>
          <w:rFonts w:hint="eastAsia" w:asciiTheme="minorEastAsia" w:hAnsiTheme="minorEastAsia" w:eastAsiaTheme="minorEastAsia" w:cstheme="minorEastAsia"/>
          <w:b w:val="0"/>
          <w:bCs w:val="0"/>
          <w:kern w:val="0"/>
          <w:sz w:val="21"/>
          <w:szCs w:val="21"/>
        </w:rPr>
        <w:t>（大写：</w:t>
      </w:r>
      <w:r>
        <w:rPr>
          <w:rFonts w:hint="eastAsia" w:asciiTheme="minorEastAsia" w:hAnsiTheme="minorEastAsia" w:eastAsiaTheme="minorEastAsia" w:cstheme="minorEastAsia"/>
          <w:b w:val="0"/>
          <w:bCs w:val="0"/>
          <w:kern w:val="0"/>
          <w:sz w:val="21"/>
          <w:szCs w:val="21"/>
          <w:lang w:val="en-US" w:eastAsia="zh-CN"/>
        </w:rPr>
        <w:t>人民币</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color w:val="000000"/>
          <w:sz w:val="21"/>
          <w:szCs w:val="21"/>
          <w:highlight w:val="none"/>
          <w:u w:val="single"/>
        </w:rPr>
        <w:t xml:space="preserve"> </w:t>
      </w:r>
      <w:r>
        <w:rPr>
          <w:rFonts w:hint="eastAsia" w:asciiTheme="minorEastAsia" w:hAnsiTheme="minorEastAsia" w:eastAsiaTheme="minorEastAsia" w:cstheme="minorEastAsia"/>
          <w:b w:val="0"/>
          <w:bCs w:val="0"/>
          <w:kern w:val="0"/>
          <w:sz w:val="21"/>
          <w:szCs w:val="21"/>
        </w:rPr>
        <w:t>）</w:t>
      </w:r>
      <w:r>
        <w:rPr>
          <w:rFonts w:hint="eastAsia" w:asciiTheme="minorEastAsia" w:hAnsiTheme="minorEastAsia" w:eastAsiaTheme="minorEastAsia" w:cstheme="minorEastAsia"/>
          <w:bCs/>
          <w:sz w:val="21"/>
          <w:szCs w:val="21"/>
        </w:rPr>
        <w:t>，增值税税率为</w:t>
      </w:r>
      <w:r>
        <w:rPr>
          <w:rFonts w:hint="eastAsia" w:asciiTheme="minorEastAsia" w:hAnsiTheme="minorEastAsia" w:eastAsiaTheme="minorEastAsia" w:cstheme="minorEastAsia"/>
          <w:bCs/>
          <w:sz w:val="21"/>
          <w:szCs w:val="21"/>
          <w:u w:val="single"/>
          <w:lang w:val="en-US" w:eastAsia="zh-CN"/>
        </w:rPr>
        <w:t xml:space="preserve">  </w:t>
      </w:r>
      <w:r>
        <w:rPr>
          <w:rFonts w:hint="eastAsia" w:asciiTheme="minorEastAsia" w:hAnsiTheme="minorEastAsia" w:eastAsiaTheme="minorEastAsia" w:cstheme="minorEastAsia"/>
          <w:bCs/>
          <w:sz w:val="21"/>
          <w:szCs w:val="21"/>
        </w:rPr>
        <w:t>%，税额</w:t>
      </w:r>
      <w:r>
        <w:rPr>
          <w:rFonts w:hint="eastAsia" w:asciiTheme="minorEastAsia" w:hAnsiTheme="minorEastAsia" w:eastAsiaTheme="minorEastAsia" w:cstheme="minorEastAsia"/>
          <w:b w:val="0"/>
          <w:bCs w:val="0"/>
          <w:kern w:val="0"/>
          <w:sz w:val="21"/>
          <w:szCs w:val="21"/>
          <w:u w:val="single"/>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元</w:t>
      </w:r>
      <w:r>
        <w:rPr>
          <w:rFonts w:hint="eastAsia" w:asciiTheme="minorEastAsia" w:hAnsiTheme="minorEastAsia" w:eastAsiaTheme="minorEastAsia" w:cstheme="minorEastAsia"/>
          <w:kern w:val="0"/>
          <w:sz w:val="21"/>
          <w:szCs w:val="21"/>
          <w:u w:val="none"/>
        </w:rPr>
        <w:t>（</w:t>
      </w:r>
      <w:r>
        <w:rPr>
          <w:rFonts w:hint="eastAsia" w:asciiTheme="minorEastAsia" w:hAnsiTheme="minorEastAsia" w:eastAsiaTheme="minorEastAsia" w:cstheme="minorEastAsia"/>
          <w:b w:val="0"/>
          <w:bCs w:val="0"/>
          <w:kern w:val="0"/>
          <w:sz w:val="21"/>
          <w:szCs w:val="21"/>
          <w:u w:val="none"/>
        </w:rPr>
        <w:t>大写：</w:t>
      </w:r>
      <w:r>
        <w:rPr>
          <w:rFonts w:hint="eastAsia" w:asciiTheme="minorEastAsia" w:hAnsiTheme="minorEastAsia" w:eastAsiaTheme="minorEastAsia" w:cstheme="minorEastAsia"/>
          <w:b w:val="0"/>
          <w:bCs w:val="0"/>
          <w:kern w:val="0"/>
          <w:sz w:val="21"/>
          <w:szCs w:val="21"/>
          <w:lang w:val="en-US" w:eastAsia="zh-CN"/>
        </w:rPr>
        <w:t>人民币</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kern w:val="0"/>
          <w:sz w:val="21"/>
          <w:szCs w:val="21"/>
          <w:u w:val="none"/>
        </w:rPr>
        <w:t>）</w:t>
      </w:r>
      <w:r>
        <w:rPr>
          <w:rFonts w:hint="eastAsia" w:asciiTheme="minorEastAsia" w:hAnsiTheme="minorEastAsia" w:eastAsiaTheme="minorEastAsia" w:cstheme="minorEastAsia"/>
          <w:bCs/>
          <w:sz w:val="21"/>
          <w:szCs w:val="21"/>
        </w:rPr>
        <w:t>。</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en-US" w:eastAsia="zh-CN"/>
        </w:rPr>
        <w:t>3.2</w:t>
      </w:r>
      <w:r>
        <w:rPr>
          <w:rFonts w:hint="eastAsia" w:asciiTheme="minorEastAsia" w:hAnsiTheme="minorEastAsia" w:eastAsiaTheme="minorEastAsia" w:cstheme="minorEastAsia"/>
          <w:sz w:val="21"/>
          <w:szCs w:val="21"/>
        </w:rPr>
        <w:t>付款方式</w:t>
      </w:r>
      <w:r>
        <w:rPr>
          <w:rFonts w:hint="eastAsia" w:asciiTheme="minorEastAsia" w:hAnsiTheme="minorEastAsia" w:eastAsiaTheme="minorEastAsia" w:cstheme="minorEastAsia"/>
          <w:b/>
          <w:sz w:val="21"/>
          <w:szCs w:val="21"/>
        </w:rPr>
        <w:t>：</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3.2.1</w:t>
      </w:r>
      <w:r>
        <w:rPr>
          <w:rFonts w:hint="eastAsia" w:asciiTheme="minorEastAsia" w:hAnsiTheme="minorEastAsia" w:eastAsiaTheme="minorEastAsia" w:cstheme="minorEastAsia"/>
          <w:sz w:val="21"/>
          <w:szCs w:val="21"/>
          <w:highlight w:val="none"/>
        </w:rPr>
        <w:t>合同生效，</w:t>
      </w:r>
      <w:r>
        <w:rPr>
          <w:rFonts w:hint="eastAsia" w:asciiTheme="minorEastAsia" w:hAnsiTheme="minorEastAsia" w:eastAsiaTheme="minorEastAsia" w:cstheme="minorEastAsia"/>
          <w:sz w:val="21"/>
          <w:szCs w:val="21"/>
          <w:highlight w:val="none"/>
          <w:lang w:val="en-US" w:eastAsia="zh-CN"/>
        </w:rPr>
        <w:t>且</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收到乙方</w:t>
      </w:r>
      <w:r>
        <w:rPr>
          <w:rFonts w:hint="eastAsia" w:asciiTheme="minorEastAsia" w:hAnsiTheme="minorEastAsia" w:eastAsiaTheme="minorEastAsia" w:cstheme="minorEastAsia"/>
          <w:sz w:val="21"/>
          <w:szCs w:val="21"/>
          <w:lang w:val="en-US" w:eastAsia="zh-CN"/>
        </w:rPr>
        <w:t>付款申请</w:t>
      </w:r>
      <w:r>
        <w:rPr>
          <w:rFonts w:hint="eastAsia" w:asciiTheme="minorEastAsia" w:hAnsiTheme="minorEastAsia" w:eastAsiaTheme="minorEastAsia" w:cstheme="minorEastAsia"/>
          <w:sz w:val="21"/>
          <w:szCs w:val="21"/>
        </w:rPr>
        <w:t>和增值税专用发票后</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个工作日</w:t>
      </w:r>
      <w:r>
        <w:rPr>
          <w:rFonts w:hint="eastAsia" w:asciiTheme="minorEastAsia" w:hAnsiTheme="minorEastAsia" w:eastAsiaTheme="minorEastAsia" w:cstheme="minorEastAsia"/>
          <w:color w:val="auto"/>
          <w:sz w:val="21"/>
          <w:szCs w:val="21"/>
          <w:lang w:eastAsia="zh-CN"/>
        </w:rPr>
        <w:t>内</w:t>
      </w:r>
      <w:r>
        <w:rPr>
          <w:rFonts w:hint="eastAsia" w:asciiTheme="minorEastAsia" w:hAnsiTheme="minorEastAsia" w:eastAsiaTheme="minorEastAsia" w:cstheme="minorEastAsia"/>
          <w:color w:val="auto"/>
          <w:sz w:val="21"/>
          <w:szCs w:val="21"/>
        </w:rPr>
        <w:t>发起行内付款流程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向乙方支付合同金额</w:t>
      </w:r>
      <w:r>
        <w:rPr>
          <w:rFonts w:hint="eastAsia" w:asciiTheme="minorEastAsia" w:hAnsiTheme="minorEastAsia" w:eastAsiaTheme="minorEastAsia" w:cstheme="minorEastAsia"/>
          <w:sz w:val="21"/>
          <w:szCs w:val="21"/>
          <w:u w:val="single"/>
          <w:lang w:val="en-US" w:eastAsia="zh-CN"/>
        </w:rPr>
        <w:t>30</w:t>
      </w:r>
      <w:r>
        <w:rPr>
          <w:rFonts w:hint="eastAsia" w:asciiTheme="minorEastAsia" w:hAnsiTheme="minorEastAsia" w:eastAsiaTheme="minorEastAsia" w:cstheme="minorEastAsia"/>
          <w:sz w:val="21"/>
          <w:szCs w:val="21"/>
        </w:rPr>
        <w:t>%，即</w:t>
      </w:r>
      <w:r>
        <w:rPr>
          <w:rFonts w:hint="eastAsia" w:asciiTheme="minorEastAsia" w:hAnsiTheme="minorEastAsia" w:eastAsiaTheme="minorEastAsia" w:cstheme="minorEastAsia"/>
          <w:b w:val="0"/>
          <w:bCs w:val="0"/>
          <w:kern w:val="0"/>
          <w:sz w:val="21"/>
          <w:szCs w:val="21"/>
          <w:u w:val="single"/>
        </w:rPr>
        <w:t>￥</w:t>
      </w:r>
      <w:r>
        <w:rPr>
          <w:rFonts w:hint="eastAsia" w:asciiTheme="minorEastAsia" w:hAnsiTheme="minorEastAsia" w:eastAsiaTheme="minorEastAsia" w:cstheme="minorEastAsia"/>
          <w:b w:val="0"/>
          <w:bCs w:val="0"/>
          <w:kern w:val="0"/>
          <w:sz w:val="21"/>
          <w:szCs w:val="21"/>
          <w:u w:val="single"/>
          <w:lang w:eastAsia="zh-CN"/>
        </w:rPr>
        <w:t xml:space="preserve"> </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color w:val="000000"/>
          <w:kern w:val="0"/>
          <w:sz w:val="21"/>
          <w:szCs w:val="21"/>
          <w:u w:val="single"/>
          <w:lang w:bidi="ar"/>
        </w:rPr>
        <w:t>元</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kern w:val="0"/>
          <w:sz w:val="21"/>
          <w:szCs w:val="21"/>
          <w:u w:val="none"/>
        </w:rPr>
        <w:t>大写：</w:t>
      </w:r>
      <w:r>
        <w:rPr>
          <w:rFonts w:hint="eastAsia" w:asciiTheme="minorEastAsia" w:hAnsiTheme="minorEastAsia" w:eastAsiaTheme="minorEastAsia" w:cstheme="minorEastAsia"/>
          <w:b w:val="0"/>
          <w:bCs w:val="0"/>
          <w:kern w:val="0"/>
          <w:sz w:val="21"/>
          <w:szCs w:val="21"/>
          <w:lang w:val="en-US" w:eastAsia="zh-CN"/>
        </w:rPr>
        <w:t>人民币</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其中不含税价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元</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税率</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%，税额 ¥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元</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3.2.2</w:t>
      </w:r>
      <w:r>
        <w:rPr>
          <w:rFonts w:hint="eastAsia" w:asciiTheme="minorEastAsia" w:hAnsiTheme="minorEastAsia" w:eastAsiaTheme="minorEastAsia" w:cstheme="minorEastAsia"/>
          <w:sz w:val="21"/>
          <w:szCs w:val="21"/>
        </w:rPr>
        <w:t>服务期满后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eastAsia="zh-CN"/>
        </w:rPr>
        <w:t>且在乙方及时</w:t>
      </w:r>
      <w:r>
        <w:rPr>
          <w:rFonts w:hint="eastAsia" w:asciiTheme="minorEastAsia" w:hAnsiTheme="minorEastAsia" w:eastAsiaTheme="minorEastAsia" w:cstheme="minorEastAsia"/>
          <w:sz w:val="21"/>
          <w:szCs w:val="21"/>
          <w:u w:val="single"/>
          <w:lang w:val="en-US" w:eastAsia="zh-Hans"/>
        </w:rPr>
        <w:t>提供</w:t>
      </w:r>
      <w:r>
        <w:rPr>
          <w:rFonts w:hint="eastAsia" w:asciiTheme="minorEastAsia" w:hAnsiTheme="minorEastAsia" w:eastAsiaTheme="minorEastAsia" w:cstheme="minorEastAsia"/>
          <w:sz w:val="21"/>
          <w:szCs w:val="21"/>
          <w:u w:val="single"/>
          <w:lang w:val="en-US" w:eastAsia="zh-CN"/>
        </w:rPr>
        <w:t>维保服务</w:t>
      </w:r>
      <w:r>
        <w:rPr>
          <w:rFonts w:hint="eastAsia" w:asciiTheme="minorEastAsia" w:hAnsiTheme="minorEastAsia" w:eastAsiaTheme="minorEastAsia" w:cstheme="minorEastAsia"/>
          <w:sz w:val="21"/>
          <w:szCs w:val="21"/>
          <w:u w:val="single"/>
          <w:lang w:val="en-US" w:eastAsia="zh-Hans"/>
        </w:rPr>
        <w:t>报告</w:t>
      </w:r>
      <w:r>
        <w:rPr>
          <w:rFonts w:hint="eastAsia" w:asciiTheme="minorEastAsia" w:hAnsiTheme="minorEastAsia" w:eastAsiaTheme="minorEastAsia" w:cstheme="minorEastAsia"/>
          <w:sz w:val="21"/>
          <w:szCs w:val="21"/>
          <w:u w:val="single"/>
          <w:lang w:val="en-US" w:eastAsia="zh-CN"/>
        </w:rPr>
        <w:t>后</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val="en-US" w:eastAsia="zh-CN"/>
        </w:rPr>
        <w:t>甲方在</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个工作日</w:t>
      </w:r>
      <w:r>
        <w:rPr>
          <w:rFonts w:hint="eastAsia" w:asciiTheme="minorEastAsia" w:hAnsiTheme="minorEastAsia" w:eastAsiaTheme="minorEastAsia" w:cstheme="minorEastAsia"/>
          <w:color w:val="auto"/>
          <w:sz w:val="21"/>
          <w:szCs w:val="21"/>
          <w:lang w:eastAsia="zh-CN"/>
        </w:rPr>
        <w:t>内</w:t>
      </w:r>
      <w:r>
        <w:rPr>
          <w:rFonts w:hint="eastAsia" w:asciiTheme="minorEastAsia" w:hAnsiTheme="minorEastAsia" w:eastAsiaTheme="minorEastAsia" w:cstheme="minorEastAsia"/>
          <w:color w:val="auto"/>
          <w:sz w:val="21"/>
          <w:szCs w:val="21"/>
        </w:rPr>
        <w:t>发起行内付款流程</w:t>
      </w:r>
      <w:r>
        <w:rPr>
          <w:rFonts w:hint="eastAsia" w:asciiTheme="minorEastAsia" w:hAnsiTheme="minorEastAsia" w:eastAsiaTheme="minorEastAsia" w:cstheme="minorEastAsia"/>
          <w:sz w:val="21"/>
          <w:szCs w:val="21"/>
        </w:rPr>
        <w:t>向乙方支付合同金额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%，即</w:t>
      </w:r>
      <w:r>
        <w:rPr>
          <w:rFonts w:hint="eastAsia" w:asciiTheme="minorEastAsia" w:hAnsiTheme="minorEastAsia" w:eastAsiaTheme="minorEastAsia" w:cstheme="minorEastAsia"/>
          <w:b w:val="0"/>
          <w:bCs w:val="0"/>
          <w:kern w:val="0"/>
          <w:sz w:val="21"/>
          <w:szCs w:val="21"/>
          <w:u w:val="single"/>
          <w:lang w:eastAsia="zh-CN"/>
        </w:rPr>
        <w:t xml:space="preserve"> </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color w:val="000000"/>
          <w:kern w:val="0"/>
          <w:sz w:val="21"/>
          <w:szCs w:val="21"/>
          <w:u w:val="single"/>
          <w:lang w:bidi="ar"/>
        </w:rPr>
        <w:t>元</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kern w:val="0"/>
          <w:sz w:val="21"/>
          <w:szCs w:val="21"/>
          <w:u w:val="none"/>
        </w:rPr>
        <w:t>大写：</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其中不含税价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元</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税率</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%，税额 ¥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元</w:t>
      </w:r>
      <w:r>
        <w:rPr>
          <w:rFonts w:hint="eastAsia" w:asciiTheme="minorEastAsia" w:hAnsiTheme="minorEastAsia" w:eastAsiaTheme="minorEastAsia" w:cstheme="minorEastAsia"/>
          <w:sz w:val="21"/>
          <w:szCs w:val="21"/>
        </w:rPr>
        <w:t>。</w:t>
      </w:r>
    </w:p>
    <w:p>
      <w:pPr>
        <w:keepNext w:val="0"/>
        <w:keepLines w:val="0"/>
        <w:pageBreakBefore w:val="0"/>
        <w:widowControl w:val="0"/>
        <w:tabs>
          <w:tab w:val="left" w:pos="1620"/>
        </w:tabs>
        <w:kinsoku/>
        <w:wordWrap/>
        <w:overflowPunct/>
        <w:topLinePunct w:val="0"/>
        <w:autoSpaceDE/>
        <w:autoSpaceDN/>
        <w:bidi w:val="0"/>
        <w:adjustRightInd w:val="0"/>
        <w:snapToGrid w:val="0"/>
        <w:spacing w:before="156" w:after="156" w:line="560" w:lineRule="exact"/>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val="en-US" w:eastAsia="zh-CN"/>
        </w:rPr>
        <w:t>3.3</w:t>
      </w:r>
      <w:r>
        <w:rPr>
          <w:rFonts w:hint="eastAsia" w:asciiTheme="minorEastAsia" w:hAnsiTheme="minorEastAsia" w:eastAsiaTheme="minorEastAsia" w:cstheme="minorEastAsia"/>
          <w:bCs/>
          <w:sz w:val="21"/>
          <w:szCs w:val="21"/>
        </w:rPr>
        <w:t>甲方付款前，乙方先开具真实有效的增值税专用发票和</w:t>
      </w:r>
      <w:r>
        <w:rPr>
          <w:rFonts w:hint="eastAsia" w:asciiTheme="minorEastAsia" w:hAnsiTheme="minorEastAsia" w:eastAsiaTheme="minorEastAsia" w:cstheme="minorEastAsia"/>
          <w:bCs/>
          <w:sz w:val="21"/>
          <w:szCs w:val="21"/>
          <w:lang w:val="en-US" w:eastAsia="zh-CN"/>
        </w:rPr>
        <w:t>付款申请</w:t>
      </w:r>
      <w:r>
        <w:rPr>
          <w:rFonts w:hint="eastAsia" w:asciiTheme="minorEastAsia" w:hAnsiTheme="minorEastAsia" w:eastAsiaTheme="minorEastAsia" w:cstheme="minorEastAsia"/>
          <w:bCs/>
          <w:sz w:val="21"/>
          <w:szCs w:val="21"/>
        </w:rPr>
        <w:t>给甲方，甲方以银行转账方式支付相应的款项。如果乙方需要变更账户，应在提交付款申请时一并提供书面的账户变更申请。</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乙方银行</w:t>
      </w:r>
      <w:r>
        <w:rPr>
          <w:rFonts w:hint="eastAsia" w:asciiTheme="minorEastAsia" w:hAnsiTheme="minorEastAsia" w:eastAsiaTheme="minorEastAsia" w:cstheme="minorEastAsia"/>
          <w:sz w:val="21"/>
          <w:szCs w:val="21"/>
          <w:lang w:val="en-US" w:eastAsia="zh-CN"/>
        </w:rPr>
        <w:t>账</w:t>
      </w:r>
      <w:r>
        <w:rPr>
          <w:rFonts w:hint="eastAsia" w:asciiTheme="minorEastAsia" w:hAnsiTheme="minorEastAsia" w:eastAsiaTheme="minorEastAsia" w:cstheme="minorEastAsia"/>
          <w:sz w:val="21"/>
          <w:szCs w:val="21"/>
        </w:rPr>
        <w:t>户资料：</w:t>
      </w:r>
    </w:p>
    <w:p>
      <w:pPr>
        <w:pStyle w:val="91"/>
        <w:keepNext w:val="0"/>
        <w:keepLines w:val="0"/>
        <w:pageBreakBefore w:val="0"/>
        <w:kinsoku/>
        <w:wordWrap/>
        <w:overflowPunct/>
        <w:topLinePunct w:val="0"/>
        <w:autoSpaceDE/>
        <w:autoSpaceDN/>
        <w:bidi w:val="0"/>
        <w:adjustRightInd w:val="0"/>
        <w:snapToGrid w:val="0"/>
        <w:spacing w:line="560" w:lineRule="exact"/>
        <w:ind w:right="-512" w:rightChars="-244"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账</w:t>
      </w:r>
      <w:r>
        <w:rPr>
          <w:rFonts w:hint="eastAsia" w:asciiTheme="minorEastAsia" w:hAnsiTheme="minorEastAsia" w:eastAsiaTheme="minorEastAsia" w:cstheme="minorEastAsia"/>
          <w:kern w:val="0"/>
          <w:sz w:val="21"/>
          <w:szCs w:val="21"/>
        </w:rPr>
        <w:t xml:space="preserve">户名称：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   </w:t>
      </w:r>
    </w:p>
    <w:p>
      <w:pPr>
        <w:pStyle w:val="91"/>
        <w:keepNext w:val="0"/>
        <w:keepLines w:val="0"/>
        <w:pageBreakBefore w:val="0"/>
        <w:kinsoku/>
        <w:wordWrap/>
        <w:overflowPunct/>
        <w:topLinePunct w:val="0"/>
        <w:autoSpaceDE/>
        <w:autoSpaceDN/>
        <w:bidi w:val="0"/>
        <w:adjustRightInd w:val="0"/>
        <w:snapToGrid w:val="0"/>
        <w:spacing w:line="560" w:lineRule="exact"/>
        <w:ind w:right="-512" w:rightChars="-244" w:firstLine="420" w:firstLineChars="200"/>
        <w:rPr>
          <w:rFonts w:hint="eastAsia" w:asciiTheme="minorEastAsia" w:hAnsiTheme="minorEastAsia" w:eastAsiaTheme="minorEastAsia" w:cstheme="minorEastAsia"/>
          <w:kern w:val="0"/>
          <w:sz w:val="21"/>
          <w:szCs w:val="21"/>
          <w:u w:val="single"/>
          <w:lang w:val="en-US" w:eastAsia="zh-CN"/>
        </w:rPr>
      </w:pPr>
      <w:r>
        <w:rPr>
          <w:rFonts w:hint="eastAsia" w:asciiTheme="minorEastAsia" w:hAnsiTheme="minorEastAsia" w:eastAsiaTheme="minorEastAsia" w:cstheme="minorEastAsia"/>
          <w:kern w:val="0"/>
          <w:sz w:val="21"/>
          <w:szCs w:val="21"/>
        </w:rPr>
        <w:t>开</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户</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行：</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u w:val="single"/>
          <w:lang w:val="en-US" w:eastAsia="zh-CN"/>
        </w:rPr>
        <w:t xml:space="preserve">                </w:t>
      </w:r>
    </w:p>
    <w:p>
      <w:pPr>
        <w:pStyle w:val="91"/>
        <w:keepNext w:val="0"/>
        <w:keepLines w:val="0"/>
        <w:pageBreakBefore w:val="0"/>
        <w:kinsoku/>
        <w:wordWrap/>
        <w:overflowPunct/>
        <w:topLinePunct w:val="0"/>
        <w:autoSpaceDE/>
        <w:autoSpaceDN/>
        <w:bidi w:val="0"/>
        <w:adjustRightInd w:val="0"/>
        <w:snapToGrid w:val="0"/>
        <w:spacing w:line="560" w:lineRule="exact"/>
        <w:ind w:right="-512" w:rightChars="-244" w:firstLine="420" w:firstLineChars="200"/>
        <w:rPr>
          <w:rFonts w:hint="eastAsia"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sz w:val="21"/>
          <w:szCs w:val="21"/>
          <w:lang w:val="en-US" w:eastAsia="zh-CN"/>
        </w:rPr>
        <w:t>账</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号：</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kern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甲方要素：</w:t>
      </w:r>
    </w:p>
    <w:p>
      <w:pPr>
        <w:keepNext w:val="0"/>
        <w:keepLines w:val="0"/>
        <w:pageBreakBefore w:val="0"/>
        <w:kinsoku/>
        <w:wordWrap/>
        <w:overflowPunct/>
        <w:topLinePunct w:val="0"/>
        <w:autoSpaceDE/>
        <w:autoSpaceDN/>
        <w:bidi w:val="0"/>
        <w:adjustRightInd w:val="0"/>
        <w:snapToGrid w:val="0"/>
        <w:spacing w:line="560" w:lineRule="exact"/>
        <w:ind w:left="0" w:leftChars="0"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称:广西北部湾银行股份有限公司</w:t>
      </w:r>
    </w:p>
    <w:p>
      <w:pPr>
        <w:keepNext w:val="0"/>
        <w:keepLines w:val="0"/>
        <w:pageBreakBefore w:val="0"/>
        <w:kinsoku/>
        <w:wordWrap/>
        <w:overflowPunct/>
        <w:topLinePunct w:val="0"/>
        <w:autoSpaceDE/>
        <w:autoSpaceDN/>
        <w:bidi w:val="0"/>
        <w:adjustRightInd w:val="0"/>
        <w:snapToGrid w:val="0"/>
        <w:spacing w:line="560" w:lineRule="exact"/>
        <w:ind w:left="0" w:leftChars="0"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纳税人识别号：914500001983761846</w:t>
      </w:r>
    </w:p>
    <w:p>
      <w:pPr>
        <w:keepNext w:val="0"/>
        <w:keepLines w:val="0"/>
        <w:pageBreakBefore w:val="0"/>
        <w:kinsoku/>
        <w:wordWrap/>
        <w:overflowPunct/>
        <w:topLinePunct w:val="0"/>
        <w:autoSpaceDE/>
        <w:autoSpaceDN/>
        <w:bidi w:val="0"/>
        <w:adjustRightInd w:val="0"/>
        <w:snapToGrid w:val="0"/>
        <w:spacing w:line="560" w:lineRule="exact"/>
        <w:ind w:left="0" w:leftChars="0"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址：</w:t>
      </w:r>
      <w:r>
        <w:rPr>
          <w:rFonts w:hint="eastAsia" w:asciiTheme="minorEastAsia" w:hAnsiTheme="minorEastAsia" w:eastAsiaTheme="minorEastAsia" w:cstheme="minorEastAsia"/>
          <w:bCs/>
          <w:sz w:val="21"/>
          <w:szCs w:val="21"/>
        </w:rPr>
        <w:t>广西壮族自治区</w:t>
      </w:r>
      <w:r>
        <w:rPr>
          <w:rFonts w:hint="eastAsia" w:asciiTheme="minorEastAsia" w:hAnsiTheme="minorEastAsia" w:eastAsiaTheme="minorEastAsia" w:cstheme="minorEastAsia"/>
          <w:sz w:val="21"/>
          <w:szCs w:val="21"/>
        </w:rPr>
        <w:t>南宁市良庆区云英路8号五象总部大厦</w:t>
      </w:r>
    </w:p>
    <w:p>
      <w:pPr>
        <w:keepNext w:val="0"/>
        <w:keepLines w:val="0"/>
        <w:pageBreakBefore w:val="0"/>
        <w:kinsoku/>
        <w:wordWrap/>
        <w:overflowPunct/>
        <w:topLinePunct w:val="0"/>
        <w:autoSpaceDE/>
        <w:autoSpaceDN/>
        <w:bidi w:val="0"/>
        <w:adjustRightInd w:val="0"/>
        <w:snapToGrid w:val="0"/>
        <w:spacing w:line="560" w:lineRule="exact"/>
        <w:ind w:left="0" w:leftChars="0"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话：0771-6115388</w:t>
      </w:r>
    </w:p>
    <w:p>
      <w:pPr>
        <w:keepNext w:val="0"/>
        <w:keepLines w:val="0"/>
        <w:pageBreakBefore w:val="0"/>
        <w:kinsoku/>
        <w:wordWrap/>
        <w:overflowPunct/>
        <w:topLinePunct w:val="0"/>
        <w:autoSpaceDE/>
        <w:autoSpaceDN/>
        <w:bidi w:val="0"/>
        <w:adjustRightInd w:val="0"/>
        <w:snapToGrid w:val="0"/>
        <w:spacing w:line="560" w:lineRule="exact"/>
        <w:ind w:left="0" w:leftChars="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号：800047647999998</w:t>
      </w:r>
    </w:p>
    <w:p>
      <w:pPr>
        <w:keepNext w:val="0"/>
        <w:keepLines w:val="0"/>
        <w:pageBreakBefore w:val="0"/>
        <w:kinsoku/>
        <w:wordWrap/>
        <w:overflowPunct/>
        <w:topLinePunct w:val="0"/>
        <w:autoSpaceDE/>
        <w:autoSpaceDN/>
        <w:bidi w:val="0"/>
        <w:adjustRightInd w:val="0"/>
        <w:snapToGrid w:val="0"/>
        <w:spacing w:line="560" w:lineRule="exact"/>
        <w:ind w:left="0" w:leftChars="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行：广西北部湾银行营业部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22" w:firstLineChars="20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四、</w:t>
      </w:r>
      <w:r>
        <w:rPr>
          <w:rFonts w:hint="eastAsia" w:asciiTheme="minorEastAsia" w:hAnsiTheme="minorEastAsia" w:eastAsiaTheme="minorEastAsia" w:cstheme="minorEastAsia"/>
          <w:b/>
          <w:sz w:val="21"/>
          <w:szCs w:val="21"/>
        </w:rPr>
        <w:t>安全责任及义务</w:t>
      </w:r>
    </w:p>
    <w:p>
      <w:pPr>
        <w:pageBreakBefore w:val="0"/>
        <w:widowControl/>
        <w:numPr>
          <w:ilvl w:val="0"/>
          <w:numId w:val="0"/>
        </w:numPr>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4.1</w:t>
      </w:r>
      <w:r>
        <w:rPr>
          <w:rFonts w:hint="eastAsia" w:asciiTheme="minorEastAsia" w:hAnsiTheme="minorEastAsia" w:eastAsiaTheme="minorEastAsia" w:cstheme="minorEastAsia"/>
          <w:color w:val="000000"/>
          <w:sz w:val="21"/>
          <w:szCs w:val="21"/>
        </w:rPr>
        <w:t>乙方如发现自身产品存在漏洞或缺陷，应第一时间通知甲方并提供漏洞缺陷解决方案和更新程序等；甲方发现乙方产品存在漏洞或缺陷</w:t>
      </w:r>
      <w:r>
        <w:rPr>
          <w:rFonts w:hint="eastAsia" w:asciiTheme="minorEastAsia" w:hAnsiTheme="minorEastAsia" w:eastAsiaTheme="minorEastAsia" w:cstheme="minorEastAsia"/>
          <w:color w:val="000000"/>
          <w:sz w:val="21"/>
          <w:szCs w:val="21"/>
          <w:lang w:val="en-US" w:eastAsia="zh-CN"/>
        </w:rPr>
        <w:t>可随时通知乙方</w:t>
      </w:r>
      <w:r>
        <w:rPr>
          <w:rFonts w:hint="eastAsia" w:asciiTheme="minorEastAsia" w:hAnsiTheme="minorEastAsia" w:eastAsiaTheme="minorEastAsia" w:cstheme="minorEastAsia"/>
          <w:color w:val="000000"/>
          <w:sz w:val="21"/>
          <w:szCs w:val="21"/>
        </w:rPr>
        <w:t>，乙方接到甲方通知后，应第一时间开展漏洞缺陷确认及漏洞缺陷修复工作。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lang w:val="en-US" w:eastAsia="zh-CN"/>
        </w:rPr>
        <w:t>4.2</w:t>
      </w:r>
      <w:r>
        <w:rPr>
          <w:rFonts w:hint="eastAsia" w:asciiTheme="minorEastAsia" w:hAnsiTheme="minorEastAsia" w:eastAsiaTheme="minorEastAsia" w:cstheme="minorEastAsia"/>
          <w:color w:val="auto"/>
          <w:sz w:val="21"/>
          <w:szCs w:val="21"/>
          <w:highlight w:val="none"/>
          <w:shd w:val="clear" w:color="auto" w:fill="auto"/>
        </w:rPr>
        <w:t>乙方</w:t>
      </w:r>
      <w:r>
        <w:rPr>
          <w:rFonts w:hint="eastAsia" w:asciiTheme="minorEastAsia" w:hAnsiTheme="minorEastAsia" w:eastAsiaTheme="minorEastAsia" w:cstheme="minorEastAsia"/>
          <w:color w:val="auto"/>
          <w:sz w:val="21"/>
          <w:szCs w:val="21"/>
          <w:highlight w:val="none"/>
          <w:shd w:val="clear" w:color="auto" w:fill="auto"/>
          <w:lang w:val="en-US" w:eastAsia="zh-CN"/>
        </w:rPr>
        <w:t>服务的内容中如包含应用系统，</w:t>
      </w:r>
      <w:r>
        <w:rPr>
          <w:rFonts w:hint="eastAsia" w:ascii="宋体" w:hAnsi="宋体" w:cs="宋体"/>
          <w:color w:val="auto"/>
          <w:sz w:val="21"/>
          <w:szCs w:val="21"/>
          <w:highlight w:val="none"/>
          <w:lang w:val="en-US" w:eastAsia="zh-CN"/>
        </w:rPr>
        <w:t>乙方系统的数据库表、数据须符合监管机构的数据报送要求，须按照甲方的数据标准和规范，使用甲方提供的数据库建模工具完成系统的数据库表、字段的设计并落标</w:t>
      </w:r>
      <w:r>
        <w:rPr>
          <w:rFonts w:hint="eastAsia" w:asciiTheme="minorEastAsia" w:hAnsiTheme="minorEastAsia" w:eastAsiaTheme="minorEastAsia" w:cstheme="minorEastAsia"/>
          <w:color w:val="auto"/>
          <w:sz w:val="21"/>
          <w:szCs w:val="21"/>
          <w:highlight w:val="none"/>
          <w:shd w:val="clear" w:color="auto" w:fill="auto"/>
        </w:rPr>
        <w:t>。</w:t>
      </w:r>
    </w:p>
    <w:p>
      <w:pPr>
        <w:widowControl/>
        <w:numPr>
          <w:ilvl w:val="0"/>
          <w:numId w:val="0"/>
        </w:numPr>
        <w:adjustRightInd w:val="0"/>
        <w:snapToGrid w:val="0"/>
        <w:spacing w:line="560" w:lineRule="exact"/>
        <w:ind w:firstLine="420" w:firstLineChars="200"/>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4.3如乙方</w:t>
      </w:r>
      <w:r>
        <w:rPr>
          <w:rFonts w:hint="eastAsia" w:asciiTheme="minorEastAsia" w:hAnsiTheme="minorEastAsia" w:eastAsiaTheme="minorEastAsia" w:cstheme="minorEastAsia"/>
          <w:color w:val="auto"/>
          <w:sz w:val="21"/>
          <w:szCs w:val="21"/>
          <w:highlight w:val="none"/>
          <w:shd w:val="clear" w:color="auto" w:fill="auto"/>
        </w:rPr>
        <w:t>产品</w:t>
      </w:r>
      <w:r>
        <w:rPr>
          <w:rFonts w:hint="eastAsia" w:asciiTheme="minorEastAsia" w:hAnsiTheme="minorEastAsia" w:eastAsiaTheme="minorEastAsia" w:cstheme="minorEastAsia"/>
          <w:color w:val="auto"/>
          <w:sz w:val="21"/>
          <w:szCs w:val="21"/>
          <w:highlight w:val="none"/>
          <w:shd w:val="clear" w:color="auto" w:fill="auto"/>
          <w:lang w:val="en-US" w:eastAsia="zh-CN"/>
        </w:rPr>
        <w:t>出现故障需要返厂维修或更换部件的情况，乙方须根据甲方要求，在</w:t>
      </w:r>
      <w:r>
        <w:rPr>
          <w:rFonts w:hint="eastAsia" w:asciiTheme="minorEastAsia" w:hAnsiTheme="minorEastAsia" w:eastAsiaTheme="minorEastAsia" w:cstheme="minorEastAsia"/>
          <w:color w:val="auto"/>
          <w:sz w:val="21"/>
          <w:szCs w:val="21"/>
          <w:highlight w:val="none"/>
          <w:u w:val="single"/>
          <w:shd w:val="clear" w:color="auto" w:fill="auto"/>
          <w:lang w:val="en-US" w:eastAsia="zh-CN"/>
        </w:rPr>
        <w:t>5</w:t>
      </w:r>
      <w:r>
        <w:rPr>
          <w:rFonts w:hint="eastAsia" w:asciiTheme="minorEastAsia" w:hAnsiTheme="minorEastAsia" w:eastAsiaTheme="minorEastAsia" w:cstheme="minorEastAsia"/>
          <w:color w:val="auto"/>
          <w:sz w:val="21"/>
          <w:szCs w:val="21"/>
          <w:highlight w:val="none"/>
          <w:shd w:val="clear" w:color="auto" w:fill="auto"/>
          <w:lang w:val="en-US" w:eastAsia="zh-CN"/>
        </w:rPr>
        <w:t>个工作日内提供相同型号的产品用于替换该故障产品，以确保甲方相关系统的正常运行。</w:t>
      </w:r>
    </w:p>
    <w:p>
      <w:pPr>
        <w:widowControl/>
        <w:numPr>
          <w:ilvl w:val="0"/>
          <w:numId w:val="0"/>
        </w:numPr>
        <w:adjustRightInd w:val="0"/>
        <w:snapToGrid w:val="0"/>
        <w:spacing w:line="560" w:lineRule="exact"/>
        <w:ind w:firstLine="420" w:firstLineChars="200"/>
        <w:rPr>
          <w:rFonts w:hint="eastAsia" w:asciiTheme="minorEastAsia" w:hAnsiTheme="minorEastAsia" w:eastAsiaTheme="minorEastAsia" w:cstheme="minorEastAsia"/>
          <w:color w:val="auto"/>
          <w:szCs w:val="21"/>
          <w:highlight w:val="none"/>
          <w:shd w:val="clear" w:color="auto" w:fill="auto"/>
          <w:lang w:val="en-US" w:eastAsia="zh-CN"/>
        </w:rPr>
      </w:pPr>
      <w:r>
        <w:rPr>
          <w:rFonts w:hint="eastAsia" w:asciiTheme="minorEastAsia" w:hAnsiTheme="minorEastAsia" w:eastAsiaTheme="minorEastAsia" w:cstheme="minorEastAsia"/>
          <w:color w:val="auto"/>
          <w:szCs w:val="21"/>
          <w:highlight w:val="none"/>
          <w:shd w:val="clear" w:color="auto" w:fill="auto"/>
          <w:lang w:val="en-US" w:eastAsia="zh-CN"/>
        </w:rPr>
        <w:t>4.4乙方须严格遵从国家法律法规、银行业监管政策的相关规定、甲方内部管理制度，在合作期间配合甲方进行风险评估、监测、检查、内外部审计和银行业监管机构检查并提供相关材料。按照甲方项目管理规范的要求，定期向甲方通报乙方的财务数据、股东结构变化情况、实际控制人及高级管理层变化情况、信息安全管理开展情况、业务连续性管理开展情况等事项，以及涉及或影响本项目正常实施的有关事项。</w:t>
      </w:r>
    </w:p>
    <w:p>
      <w:pPr>
        <w:keepNext w:val="0"/>
        <w:keepLines w:val="0"/>
        <w:pageBreakBefore w:val="0"/>
        <w:kinsoku/>
        <w:wordWrap/>
        <w:overflowPunct/>
        <w:topLinePunct w:val="0"/>
        <w:autoSpaceDE/>
        <w:autoSpaceDN/>
        <w:bidi w:val="0"/>
        <w:adjustRightInd w:val="0"/>
        <w:snapToGrid w:val="0"/>
        <w:spacing w:line="560" w:lineRule="exact"/>
        <w:ind w:firstLine="422" w:firstLineChars="20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五、保证条款</w:t>
      </w:r>
    </w:p>
    <w:p>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5.1</w:t>
      </w:r>
      <w:r>
        <w:rPr>
          <w:rFonts w:hint="eastAsia" w:asciiTheme="minorEastAsia" w:hAnsiTheme="minorEastAsia" w:eastAsiaTheme="minorEastAsia" w:cstheme="minorEastAsia"/>
          <w:sz w:val="21"/>
          <w:szCs w:val="21"/>
        </w:rPr>
        <w:t>乙方保证在为甲方提供服务过程中所使用的产品、资料、技术不涉及任何第三方利益、不侵犯任何第三方的知识产权并不存在任何与此相关的争议，否则由此引起的一切法律责任及甲方由此而遭受的一切损失由乙方承担。</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六、保密条款</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eastAsiaTheme="minorEastAsia"/>
          <w:lang w:val="en-US" w:eastAsia="zh-CN"/>
        </w:rPr>
        <w:t>6.1</w:t>
      </w:r>
      <w:r>
        <w:rPr>
          <w:rFonts w:hint="eastAsia" w:asciiTheme="minorEastAsia" w:hAnsiTheme="minorEastAsia" w:eastAsiaTheme="minorEastAsia" w:cstheme="minorEastAsia"/>
          <w:sz w:val="21"/>
          <w:szCs w:val="21"/>
        </w:rPr>
        <w:t>乙方对在签订和履行本合同过程中从甲方获知的技术和商业秘密，无论在本合同期限内还是合同终止后，均应遵守国家有关版权、专利、商标等知识产权方面的法律规定，尊重甲方知识产权，对所知悉的甲方技术秘密和商业秘密负有保密责任，未经甲方事先书面授权，乙方不得以任何方式向任何组织或个人泄露、转让、许可使用、交换、赠与或与任何其他组织（个人）共同使用或不正当使用。违反本条规定，给甲方造成损失的，乙方应向甲方承担由此带来的一切直接及间接损失。</w:t>
      </w:r>
    </w:p>
    <w:p>
      <w:pPr>
        <w:pageBreakBefore w:val="0"/>
        <w:numPr>
          <w:ilvl w:val="0"/>
          <w:numId w:val="0"/>
        </w:numPr>
        <w:tabs>
          <w:tab w:val="left" w:pos="7920"/>
        </w:tabs>
        <w:kinsoku/>
        <w:wordWrap/>
        <w:overflowPunct/>
        <w:topLinePunct w:val="0"/>
        <w:bidi w:val="0"/>
        <w:adjustRightInd w:val="0"/>
        <w:snapToGrid w:val="0"/>
        <w:spacing w:line="560" w:lineRule="exact"/>
        <w:ind w:leftChars="0" w:firstLine="420" w:firstLineChars="200"/>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6.2乙方应加强对项目服务人员职业操守及职业素质教育，敦促和监督项目服务人员自觉遵守法律、法规等相关规定，保证不向本协议以外的任何第三方泄露甲方或甲方客户的商业秘密（包括本协议及其附件）；乙方保证与其项目服务人员签订保密协议，以确保项目服务人员不会利用提供服务工作便利向本协议之外任意第三方泄露甲方或甲方客户的商业秘密。否则，乙方应承担相应违约责任并对甲方及甲方客户的损失承担相应赔偿责任。前述乙方及服务人员的保密义务在本协议终止后长期有效，直至甲方主动公开为止。</w:t>
      </w:r>
    </w:p>
    <w:p>
      <w:pPr>
        <w:pageBreakBefore w:val="0"/>
        <w:numPr>
          <w:ilvl w:val="0"/>
          <w:numId w:val="0"/>
        </w:numPr>
        <w:tabs>
          <w:tab w:val="left" w:pos="7920"/>
        </w:tabs>
        <w:kinsoku/>
        <w:wordWrap/>
        <w:overflowPunct/>
        <w:topLinePunct w:val="0"/>
        <w:bidi w:val="0"/>
        <w:adjustRightInd w:val="0"/>
        <w:snapToGrid w:val="0"/>
        <w:spacing w:line="560" w:lineRule="exact"/>
        <w:ind w:leftChars="0" w:firstLine="420" w:firstLineChars="200"/>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6.3本协议终止后，乙方关于甲方数据保密性的责任仍然具有全面效力。</w:t>
      </w:r>
    </w:p>
    <w:p>
      <w:pPr>
        <w:numPr>
          <w:ilvl w:val="0"/>
          <w:numId w:val="0"/>
        </w:numPr>
        <w:tabs>
          <w:tab w:val="left" w:pos="7920"/>
        </w:tabs>
        <w:adjustRightInd w:val="0"/>
        <w:snapToGrid w:val="0"/>
        <w:spacing w:line="560" w:lineRule="exact"/>
        <w:ind w:leftChars="0" w:firstLine="420" w:firstLineChars="200"/>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6.</w:t>
      </w:r>
      <w:r>
        <w:rPr>
          <w:rFonts w:hint="eastAsia" w:asciiTheme="minorEastAsia" w:hAnsiTheme="minorEastAsia" w:eastAsiaTheme="minorEastAsia" w:cstheme="minorEastAsia"/>
          <w:color w:val="auto"/>
          <w:szCs w:val="21"/>
          <w:shd w:val="clear" w:color="auto" w:fill="auto"/>
          <w:lang w:val="en-US" w:eastAsia="zh-CN"/>
        </w:rPr>
        <w:t>4</w:t>
      </w:r>
      <w:r>
        <w:rPr>
          <w:rFonts w:hint="eastAsia" w:asciiTheme="minorEastAsia" w:hAnsiTheme="minorEastAsia" w:eastAsiaTheme="minorEastAsia" w:cstheme="minorEastAsia"/>
          <w:color w:val="auto"/>
          <w:szCs w:val="21"/>
          <w:shd w:val="clear" w:color="auto" w:fill="auto"/>
        </w:rPr>
        <w:t>具体约定详见附件1“保密协议”。</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七、</w:t>
      </w:r>
      <w:r>
        <w:rPr>
          <w:rFonts w:hint="eastAsia" w:asciiTheme="minorEastAsia" w:hAnsiTheme="minorEastAsia" w:eastAsiaTheme="minorEastAsia" w:cstheme="minorEastAsia"/>
          <w:b/>
          <w:bCs/>
          <w:sz w:val="21"/>
          <w:szCs w:val="21"/>
        </w:rPr>
        <w:t>不可抗力</w:t>
      </w:r>
    </w:p>
    <w:p>
      <w:pPr>
        <w:pStyle w:val="179"/>
        <w:keepNext w:val="0"/>
        <w:keepLines w:val="0"/>
        <w:pageBreakBefore w:val="0"/>
        <w:numPr>
          <w:ilvl w:val="0"/>
          <w:numId w:val="0"/>
        </w:numPr>
        <w:kinsoku/>
        <w:wordWrap/>
        <w:overflowPunct/>
        <w:topLinePunct w:val="0"/>
        <w:autoSpaceDE/>
        <w:autoSpaceDN/>
        <w:bidi w:val="0"/>
        <w:adjustRightInd w:val="0"/>
        <w:snapToGrid w:val="0"/>
        <w:spacing w:line="560" w:lineRule="exact"/>
        <w:ind w:right="-512" w:rightChars="-244" w:firstLine="420" w:firstLineChars="200"/>
        <w:contextualSpacing/>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.1如果本合同任何一方因受不可抗力事件影响而未能履行其在本合同下的全部或部分义务，该义务的履行在不可抗力事件妨碍其履行期间应予中止。</w:t>
      </w:r>
    </w:p>
    <w:p>
      <w:pPr>
        <w:pStyle w:val="179"/>
        <w:keepNext w:val="0"/>
        <w:keepLines w:val="0"/>
        <w:pageBreakBefore w:val="0"/>
        <w:numPr>
          <w:ilvl w:val="0"/>
          <w:numId w:val="0"/>
        </w:numPr>
        <w:kinsoku/>
        <w:wordWrap/>
        <w:overflowPunct/>
        <w:topLinePunct w:val="0"/>
        <w:autoSpaceDE/>
        <w:autoSpaceDN/>
        <w:bidi w:val="0"/>
        <w:adjustRightInd w:val="0"/>
        <w:snapToGrid w:val="0"/>
        <w:spacing w:line="560" w:lineRule="exact"/>
        <w:ind w:right="-512" w:rightChars="-244" w:firstLine="420" w:firstLineChars="200"/>
        <w:contextualSpacing/>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2声称受到不可抗力事件影响的一方应尽可能在最短的时间内通过书面形式将不可抗力事件的发生通知另一方，并在该不可抗力事件发生后七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pStyle w:val="179"/>
        <w:keepNext w:val="0"/>
        <w:keepLines w:val="0"/>
        <w:pageBreakBefore w:val="0"/>
        <w:numPr>
          <w:ilvl w:val="0"/>
          <w:numId w:val="0"/>
        </w:numPr>
        <w:kinsoku/>
        <w:wordWrap/>
        <w:overflowPunct/>
        <w:topLinePunct w:val="0"/>
        <w:autoSpaceDE/>
        <w:autoSpaceDN/>
        <w:bidi w:val="0"/>
        <w:adjustRightInd w:val="0"/>
        <w:snapToGrid w:val="0"/>
        <w:spacing w:line="560" w:lineRule="exact"/>
        <w:ind w:right="-512" w:rightChars="-244" w:firstLine="420" w:firstLineChars="200"/>
        <w:contextualSpacing/>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.3如果不可抗力事件持续存在超过</w:t>
      </w:r>
      <w:r>
        <w:rPr>
          <w:rFonts w:hint="eastAsia" w:asciiTheme="minorEastAsia" w:hAnsiTheme="minorEastAsia" w:eastAsiaTheme="minorEastAsia" w:cstheme="minorEastAsia"/>
          <w:sz w:val="21"/>
          <w:szCs w:val="21"/>
          <w:highlight w:val="none"/>
          <w:u w:val="single"/>
        </w:rPr>
        <w:t xml:space="preserve"> 45 </w:t>
      </w:r>
      <w:r>
        <w:rPr>
          <w:rFonts w:hint="eastAsia" w:asciiTheme="minorEastAsia" w:hAnsiTheme="minorEastAsia" w:eastAsiaTheme="minorEastAsia" w:cstheme="minorEastAsia"/>
          <w:sz w:val="21"/>
          <w:szCs w:val="21"/>
          <w:highlight w:val="none"/>
        </w:rPr>
        <w:t>个工作日，双方应通过友好协商，商定继续履行本合同的方法或者终止本合同。</w:t>
      </w:r>
    </w:p>
    <w:p>
      <w:pPr>
        <w:pStyle w:val="179"/>
        <w:keepNext w:val="0"/>
        <w:keepLines w:val="0"/>
        <w:pageBreakBefore w:val="0"/>
        <w:numPr>
          <w:ilvl w:val="0"/>
          <w:numId w:val="0"/>
        </w:numPr>
        <w:kinsoku/>
        <w:wordWrap/>
        <w:overflowPunct/>
        <w:topLinePunct w:val="0"/>
        <w:autoSpaceDE/>
        <w:autoSpaceDN/>
        <w:bidi w:val="0"/>
        <w:adjustRightInd w:val="0"/>
        <w:snapToGrid w:val="0"/>
        <w:spacing w:line="560" w:lineRule="exact"/>
        <w:ind w:right="-512" w:rightChars="-244" w:firstLine="420" w:firstLineChars="200"/>
        <w:contextualSpacing/>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4本合同所称"不可抗力"是指受影响一方无法预料或即使可预料到也不可避免且无法克服，并于本合同签订日之后出现的，使该方对本合同全部或部分的履行在客观上成为不可能或不实际的任何事件。此等事件包括但不限于自然灾害如水灾、火灾、台风、地震，以及社会事件如战争（不论曾否宣战）、动乱、罢工，政府行为或法律规定等。</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八、合同的解除</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w:t>
      </w:r>
      <w:r>
        <w:rPr>
          <w:rFonts w:hint="eastAsia" w:asciiTheme="minorEastAsia" w:hAnsiTheme="minorEastAsia" w:eastAsiaTheme="minorEastAsia" w:cstheme="minorEastAsia"/>
          <w:sz w:val="21"/>
          <w:szCs w:val="21"/>
        </w:rPr>
        <w:t>有下列情形之一的，甲方可以单方解除本合同部分或全部内容：</w:t>
      </w:r>
      <w:r>
        <w:rPr>
          <w:rFonts w:hint="eastAsia" w:asciiTheme="minorEastAsia" w:hAnsiTheme="minorEastAsia" w:eastAsiaTheme="minorEastAsia" w:cstheme="minorEastAsia"/>
          <w:sz w:val="21"/>
          <w:szCs w:val="21"/>
          <w:lang w:val="en-US" w:eastAsia="zh-CN"/>
        </w:rPr>
        <w:t>①</w:t>
      </w:r>
      <w:r>
        <w:rPr>
          <w:rFonts w:hint="eastAsia" w:asciiTheme="minorEastAsia" w:hAnsiTheme="minorEastAsia" w:eastAsiaTheme="minorEastAsia" w:cstheme="minorEastAsia"/>
          <w:sz w:val="21"/>
          <w:szCs w:val="21"/>
        </w:rPr>
        <w:t>乙方未按照</w:t>
      </w: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2《服务内容》</w:t>
      </w:r>
      <w:r>
        <w:rPr>
          <w:rFonts w:hint="eastAsia" w:asciiTheme="minorEastAsia" w:hAnsiTheme="minorEastAsia" w:eastAsiaTheme="minorEastAsia" w:cstheme="minorEastAsia"/>
          <w:sz w:val="21"/>
          <w:szCs w:val="21"/>
        </w:rPr>
        <w:t>的规定提供服务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②</w:t>
      </w:r>
      <w:r>
        <w:rPr>
          <w:rFonts w:hint="eastAsia" w:asciiTheme="minorEastAsia" w:hAnsiTheme="minorEastAsia" w:eastAsiaTheme="minorEastAsia" w:cstheme="minorEastAsia"/>
          <w:sz w:val="21"/>
          <w:szCs w:val="21"/>
        </w:rPr>
        <w:t>由于乙方原因造成延迟服务响应支持，延迟服务达到</w:t>
      </w:r>
      <w:r>
        <w:rPr>
          <w:rFonts w:hint="eastAsia" w:asciiTheme="minorEastAsia" w:hAnsiTheme="minorEastAsia" w:eastAsiaTheme="minorEastAsia" w:cstheme="minorEastAsia"/>
          <w:sz w:val="21"/>
          <w:szCs w:val="21"/>
          <w:u w:val="single"/>
          <w:lang w:val="en-US" w:eastAsia="zh-CN"/>
        </w:rPr>
        <w:t xml:space="preserve"> 5 </w:t>
      </w:r>
      <w:r>
        <w:rPr>
          <w:rFonts w:hint="eastAsia" w:asciiTheme="minorEastAsia" w:hAnsiTheme="minorEastAsia" w:eastAsiaTheme="minorEastAsia" w:cstheme="minorEastAsia"/>
          <w:sz w:val="21"/>
          <w:szCs w:val="21"/>
        </w:rPr>
        <w:t>天的，甲方有权解除合同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③</w:t>
      </w:r>
      <w:r>
        <w:rPr>
          <w:rFonts w:hint="eastAsia" w:asciiTheme="minorEastAsia" w:hAnsiTheme="minorEastAsia" w:eastAsiaTheme="minorEastAsia" w:cstheme="minorEastAsia"/>
          <w:sz w:val="21"/>
          <w:szCs w:val="21"/>
        </w:rPr>
        <w:t>乙方无正当理由明确表示不履行合同。</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8.2</w:t>
      </w:r>
      <w:r>
        <w:rPr>
          <w:rFonts w:hint="eastAsia" w:asciiTheme="minorEastAsia" w:hAnsiTheme="minorEastAsia" w:eastAsiaTheme="minorEastAsia" w:cstheme="minorEastAsia"/>
          <w:sz w:val="21"/>
          <w:szCs w:val="21"/>
        </w:rPr>
        <w:t>有下列情形之一的，乙方可以单方解除本合同部分或全部内容：</w:t>
      </w:r>
      <w:r>
        <w:rPr>
          <w:rFonts w:hint="eastAsia" w:asciiTheme="minorEastAsia" w:hAnsiTheme="minorEastAsia" w:eastAsiaTheme="minorEastAsia" w:cstheme="minorEastAsia"/>
          <w:sz w:val="21"/>
          <w:szCs w:val="21"/>
          <w:lang w:val="en-US" w:eastAsia="zh-CN"/>
        </w:rPr>
        <w:t>①</w:t>
      </w:r>
      <w:r>
        <w:rPr>
          <w:rFonts w:hint="eastAsia" w:asciiTheme="minorEastAsia" w:hAnsiTheme="minorEastAsia" w:eastAsiaTheme="minorEastAsia" w:cstheme="minorEastAsia"/>
          <w:sz w:val="21"/>
          <w:szCs w:val="21"/>
        </w:rPr>
        <w:t>甲方在本合同约定的付款义务期限届满</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rPr>
        <w:t>个工作日后，未履行付款义务；</w:t>
      </w:r>
      <w:r>
        <w:rPr>
          <w:rFonts w:hint="eastAsia" w:asciiTheme="minorEastAsia" w:hAnsiTheme="minorEastAsia" w:eastAsiaTheme="minorEastAsia" w:cstheme="minorEastAsia"/>
          <w:sz w:val="21"/>
          <w:szCs w:val="21"/>
          <w:lang w:val="en-US" w:eastAsia="zh-CN"/>
        </w:rPr>
        <w:t>②</w:t>
      </w:r>
      <w:r>
        <w:rPr>
          <w:rFonts w:hint="eastAsia" w:asciiTheme="minorEastAsia" w:hAnsiTheme="minorEastAsia" w:eastAsiaTheme="minorEastAsia" w:cstheme="minorEastAsia"/>
          <w:sz w:val="21"/>
          <w:szCs w:val="21"/>
        </w:rPr>
        <w:t>甲方无正当理由明确表示不再履行合同。</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8.3</w:t>
      </w:r>
      <w:r>
        <w:rPr>
          <w:rFonts w:hint="eastAsia" w:asciiTheme="minorEastAsia" w:hAnsiTheme="minorEastAsia" w:eastAsiaTheme="minorEastAsia" w:cstheme="minorEastAsia"/>
          <w:sz w:val="21"/>
          <w:szCs w:val="21"/>
        </w:rPr>
        <w:t>因上述原因导致合同解除后，尚未履行的，终止履行；已经履行的，双方应采取合理措施。</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九、</w:t>
      </w:r>
      <w:r>
        <w:rPr>
          <w:rFonts w:hint="eastAsia" w:asciiTheme="minorEastAsia" w:hAnsiTheme="minorEastAsia" w:eastAsiaTheme="minorEastAsia" w:cstheme="minorEastAsia"/>
          <w:b/>
          <w:bCs/>
          <w:color w:val="auto"/>
          <w:kern w:val="44"/>
          <w:sz w:val="21"/>
          <w:szCs w:val="21"/>
          <w:shd w:val="clear" w:color="auto" w:fill="auto"/>
          <w:lang w:val="en-US" w:eastAsia="zh-CN" w:bidi="ar-SA"/>
        </w:rPr>
        <w:t>知识产权</w:t>
      </w:r>
    </w:p>
    <w:p>
      <w:pPr>
        <w:pageBreakBefore w:val="0"/>
        <w:numPr>
          <w:ilvl w:val="0"/>
          <w:numId w:val="0"/>
        </w:numPr>
        <w:tabs>
          <w:tab w:val="left" w:pos="7920"/>
        </w:tabs>
        <w:kinsoku/>
        <w:wordWrap/>
        <w:overflowPunct/>
        <w:topLinePunct w:val="0"/>
        <w:bidi w:val="0"/>
        <w:adjustRightInd w:val="0"/>
        <w:snapToGrid w:val="0"/>
        <w:spacing w:line="560" w:lineRule="exact"/>
        <w:ind w:leftChars="0" w:firstLine="420" w:firstLineChars="200"/>
        <w:rPr>
          <w:rFonts w:hint="eastAsia" w:asciiTheme="minorEastAsia" w:hAnsiTheme="minorEastAsia" w:eastAsiaTheme="minorEastAsia" w:cstheme="minorEastAsia"/>
          <w:color w:val="auto"/>
          <w:sz w:val="21"/>
          <w:szCs w:val="21"/>
          <w:highlight w:val="yellow"/>
          <w:shd w:val="clear" w:color="auto" w:fill="auto"/>
          <w:lang w:val="en-US" w:eastAsia="zh-CN"/>
        </w:rPr>
      </w:pPr>
      <w:r>
        <w:rPr>
          <w:rFonts w:hint="eastAsia" w:asciiTheme="minorEastAsia" w:hAnsiTheme="minorEastAsia" w:eastAsiaTheme="minorEastAsia" w:cstheme="minorEastAsia"/>
          <w:color w:val="auto"/>
          <w:szCs w:val="21"/>
          <w:highlight w:val="yellow"/>
          <w:shd w:val="clear" w:color="auto" w:fill="auto"/>
          <w:lang w:val="en-US" w:eastAsia="zh-CN"/>
        </w:rPr>
        <w:t>9</w:t>
      </w:r>
      <w:r>
        <w:rPr>
          <w:rFonts w:hint="eastAsia" w:asciiTheme="minorEastAsia" w:hAnsiTheme="minorEastAsia" w:eastAsiaTheme="minorEastAsia" w:cstheme="minorEastAsia"/>
          <w:color w:val="auto"/>
          <w:szCs w:val="21"/>
          <w:highlight w:val="yellow"/>
          <w:shd w:val="clear" w:color="auto" w:fill="auto"/>
        </w:rPr>
        <w:t>.1在本协议签订前已经存在的其他成果，包括但不限于设计方案图纸、各种说明书、测试数据资料、计算机软件、技术诀窍以及其他技术文档，乙方应</w:t>
      </w:r>
      <w:r>
        <w:rPr>
          <w:rFonts w:hint="eastAsia" w:asciiTheme="minorEastAsia" w:hAnsiTheme="minorEastAsia" w:eastAsiaTheme="minorEastAsia" w:cstheme="minorEastAsia"/>
          <w:color w:val="auto"/>
          <w:szCs w:val="21"/>
          <w:highlight w:val="yellow"/>
          <w:shd w:val="clear" w:color="auto" w:fill="auto"/>
          <w:lang w:val="en-US" w:eastAsia="zh-CN"/>
        </w:rPr>
        <w:t>依法</w:t>
      </w:r>
      <w:r>
        <w:rPr>
          <w:rFonts w:hint="eastAsia" w:asciiTheme="minorEastAsia" w:hAnsiTheme="minorEastAsia" w:eastAsiaTheme="minorEastAsia" w:cstheme="minorEastAsia"/>
          <w:color w:val="auto"/>
          <w:szCs w:val="21"/>
          <w:highlight w:val="yellow"/>
          <w:shd w:val="clear" w:color="auto" w:fill="auto"/>
        </w:rPr>
        <w:t>取得所有权或使用权。</w:t>
      </w:r>
    </w:p>
    <w:p>
      <w:pPr>
        <w:pageBreakBefore w:val="0"/>
        <w:numPr>
          <w:ilvl w:val="0"/>
          <w:numId w:val="0"/>
        </w:numPr>
        <w:tabs>
          <w:tab w:val="left" w:pos="7920"/>
        </w:tabs>
        <w:kinsoku/>
        <w:wordWrap/>
        <w:overflowPunct/>
        <w:topLinePunct w:val="0"/>
        <w:bidi w:val="0"/>
        <w:adjustRightInd w:val="0"/>
        <w:snapToGrid w:val="0"/>
        <w:spacing w:line="560" w:lineRule="exact"/>
        <w:ind w:leftChars="0" w:firstLine="420" w:firstLineChars="200"/>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highlight w:val="yellow"/>
          <w:shd w:val="clear" w:color="auto" w:fill="auto"/>
          <w:lang w:val="en-US" w:eastAsia="zh-CN"/>
        </w:rPr>
        <w:t>9.2乙方依照甲方要求交付的系统和技术资料的知识产权（包括但不限于软件产品著作权）归甲方所有，甲方及其分支机构、甲方投资参股的村镇银行、甲方开办的子公司对本协议定制开发的软件具有使用权。</w:t>
      </w:r>
    </w:p>
    <w:p>
      <w:pPr>
        <w:pageBreakBefore w:val="0"/>
        <w:numPr>
          <w:ilvl w:val="0"/>
          <w:numId w:val="0"/>
        </w:numPr>
        <w:tabs>
          <w:tab w:val="left" w:pos="7920"/>
        </w:tabs>
        <w:kinsoku/>
        <w:wordWrap/>
        <w:overflowPunct/>
        <w:topLinePunct w:val="0"/>
        <w:bidi w:val="0"/>
        <w:adjustRightInd w:val="0"/>
        <w:snapToGrid w:val="0"/>
        <w:spacing w:line="560" w:lineRule="exact"/>
        <w:ind w:leftChars="0" w:firstLine="420" w:firstLineChars="200"/>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9.3乙方对交付给甲方的系统和技术资料知识产权承担责任，若侵犯第三方知识产权的，由乙方承担全部责任。</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十</w:t>
      </w:r>
      <w:r>
        <w:rPr>
          <w:rFonts w:hint="eastAsia" w:asciiTheme="minorEastAsia" w:hAnsiTheme="minorEastAsia" w:eastAsiaTheme="minorEastAsia" w:cstheme="minorEastAsia"/>
          <w:b/>
          <w:sz w:val="21"/>
          <w:szCs w:val="21"/>
        </w:rPr>
        <w:t xml:space="preserve">、违约与赔偿责任 </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10.1</w:t>
      </w:r>
      <w:r>
        <w:rPr>
          <w:rFonts w:hint="eastAsia" w:asciiTheme="minorEastAsia" w:hAnsiTheme="minorEastAsia" w:eastAsiaTheme="minorEastAsia" w:cstheme="minorEastAsia"/>
          <w:sz w:val="21"/>
          <w:szCs w:val="21"/>
        </w:rPr>
        <w:t>本合同生效后，甲乙双方应履行本合同约定的义务，任何一方不履行或者不完全履行本合同约定的义务和保证的，应当承担相应的违约责任，并赔偿因此给对方造成的损失。</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10.2</w:t>
      </w:r>
      <w:r>
        <w:rPr>
          <w:rFonts w:hint="eastAsia" w:asciiTheme="minorEastAsia" w:hAnsiTheme="minorEastAsia" w:eastAsiaTheme="minorEastAsia" w:cstheme="minorEastAsia"/>
          <w:sz w:val="21"/>
          <w:szCs w:val="21"/>
        </w:rPr>
        <w:t>甲方违约</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10.2.1</w:t>
      </w:r>
      <w:r>
        <w:rPr>
          <w:rFonts w:hint="eastAsia" w:asciiTheme="minorEastAsia" w:hAnsiTheme="minorEastAsia" w:eastAsiaTheme="minorEastAsia" w:cstheme="minorEastAsia"/>
          <w:sz w:val="21"/>
          <w:szCs w:val="21"/>
        </w:rPr>
        <w:t>由于甲方原因延迟付款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每延迟一天应按未付相应金额</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万分之</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向乙方支付违约金，但违约金总额不超过合同金额的</w:t>
      </w:r>
      <w:r>
        <w:rPr>
          <w:rFonts w:hint="eastAsia" w:asciiTheme="minorEastAsia" w:hAnsiTheme="minorEastAsia" w:eastAsiaTheme="minorEastAsia" w:cstheme="minorEastAsia"/>
          <w:sz w:val="21"/>
          <w:szCs w:val="21"/>
          <w:u w:val="single"/>
          <w:lang w:val="en-US" w:eastAsia="zh-CN"/>
        </w:rPr>
        <w:t xml:space="preserve"> 5 </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10.3</w:t>
      </w:r>
      <w:r>
        <w:rPr>
          <w:rFonts w:hint="eastAsia" w:asciiTheme="minorEastAsia" w:hAnsiTheme="minorEastAsia" w:eastAsiaTheme="minorEastAsia" w:cstheme="minorEastAsia"/>
          <w:sz w:val="21"/>
          <w:szCs w:val="21"/>
        </w:rPr>
        <w:t>乙方违约</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10.3.1</w:t>
      </w:r>
      <w:r>
        <w:rPr>
          <w:rFonts w:hint="eastAsia" w:asciiTheme="minorEastAsia" w:hAnsiTheme="minorEastAsia" w:eastAsiaTheme="minorEastAsia" w:cstheme="minorEastAsia"/>
          <w:sz w:val="21"/>
          <w:szCs w:val="21"/>
        </w:rPr>
        <w:t>由于乙方原因造成延迟服务响应支持，每延迟一天按相应合同总金额的万分之</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向甲方支付违约金，但违约金的总数不超过合同总金额的</w:t>
      </w:r>
      <w:r>
        <w:rPr>
          <w:rFonts w:hint="eastAsia" w:asciiTheme="minorEastAsia" w:hAnsiTheme="minorEastAsia" w:eastAsiaTheme="minorEastAsia" w:cstheme="minorEastAsia"/>
          <w:sz w:val="21"/>
          <w:szCs w:val="21"/>
          <w:u w:val="single"/>
          <w:lang w:val="en-US" w:eastAsia="zh-CN"/>
        </w:rPr>
        <w:t xml:space="preserve"> 5 </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10.3.2</w:t>
      </w:r>
      <w:r>
        <w:rPr>
          <w:rFonts w:hint="eastAsia" w:asciiTheme="minorEastAsia" w:hAnsiTheme="minorEastAsia" w:eastAsiaTheme="minorEastAsia" w:cstheme="minorEastAsia"/>
          <w:sz w:val="21"/>
          <w:szCs w:val="21"/>
        </w:rPr>
        <w:t>乙方不履行或履行义务不符合本合同约定，甲方依本合同约定解除合同的，乙方应按合同总额的</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rPr>
        <w:t>向甲方支付违约金。</w:t>
      </w:r>
    </w:p>
    <w:p>
      <w:pPr>
        <w:adjustRightInd w:val="0"/>
        <w:snapToGrid w:val="0"/>
        <w:spacing w:line="560" w:lineRule="exact"/>
        <w:ind w:firstLine="420" w:firstLineChars="200"/>
        <w:rPr>
          <w:rFonts w:hint="eastAsia"/>
        </w:rPr>
      </w:pPr>
      <w:r>
        <w:rPr>
          <w:rFonts w:hint="eastAsia" w:asciiTheme="minorEastAsia" w:hAnsiTheme="minorEastAsia" w:eastAsiaTheme="minorEastAsia" w:cstheme="minorEastAsia"/>
          <w:szCs w:val="21"/>
        </w:rPr>
        <w:t>10.3.</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乙方承诺向甲方提供的产品、技术及服务等不会侵犯第三方知识产权，如因侵犯第三方知识产权而引发的争议或纠纷的，乙方应自行承担，</w:t>
      </w:r>
      <w:r>
        <w:rPr>
          <w:rFonts w:hint="eastAsia" w:asciiTheme="minorEastAsia" w:hAnsiTheme="minorEastAsia" w:eastAsiaTheme="minorEastAsia" w:cstheme="minorEastAsia"/>
          <w:sz w:val="21"/>
          <w:szCs w:val="21"/>
        </w:rPr>
        <w:t>造成甲方损失的由乙方负责</w:t>
      </w:r>
      <w:r>
        <w:rPr>
          <w:rFonts w:hint="eastAsia" w:asciiTheme="minorEastAsia" w:hAnsiTheme="minorEastAsia" w:eastAsiaTheme="minorEastAsia" w:cstheme="minorEastAsia"/>
          <w:sz w:val="21"/>
          <w:szCs w:val="21"/>
          <w:lang w:val="en-US" w:eastAsia="zh-CN"/>
        </w:rPr>
        <w:t>承担</w:t>
      </w:r>
      <w:r>
        <w:rPr>
          <w:rFonts w:hint="eastAsia" w:asciiTheme="minorEastAsia" w:hAnsiTheme="minorEastAsia" w:eastAsiaTheme="minorEastAsia" w:cstheme="minorEastAsia"/>
          <w:sz w:val="21"/>
          <w:szCs w:val="21"/>
        </w:rPr>
        <w:t>，其承担范围包括但不限于：赔偿费、诉讼费或仲裁费、律师费和其它相关费用。</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val="en-US" w:eastAsia="zh-CN"/>
        </w:rPr>
        <w:t>10.4</w:t>
      </w:r>
      <w:r>
        <w:rPr>
          <w:rFonts w:hint="eastAsia" w:asciiTheme="minorEastAsia" w:hAnsiTheme="minorEastAsia" w:eastAsiaTheme="minorEastAsia" w:cstheme="minorEastAsia"/>
          <w:sz w:val="21"/>
          <w:szCs w:val="21"/>
        </w:rPr>
        <w:t>本合同所称损失是指因违约行为造成的直接损失和间接损失，该损失包括但不限于守约方为实现债权而支付的诉讼（或仲裁）费、差旅费、律师费。</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w:t>
      </w:r>
      <w:r>
        <w:rPr>
          <w:rFonts w:hint="eastAsia" w:asciiTheme="minorEastAsia" w:hAnsiTheme="minorEastAsia" w:eastAsiaTheme="minorEastAsia" w:cstheme="minorEastAsia"/>
          <w:b/>
          <w:sz w:val="21"/>
          <w:szCs w:val="21"/>
          <w:lang w:eastAsia="zh-CN"/>
        </w:rPr>
        <w:t>一</w:t>
      </w:r>
      <w:r>
        <w:rPr>
          <w:rFonts w:hint="eastAsia" w:asciiTheme="minorEastAsia" w:hAnsiTheme="minorEastAsia" w:eastAsiaTheme="minorEastAsia" w:cstheme="minorEastAsia"/>
          <w:b/>
          <w:sz w:val="21"/>
          <w:szCs w:val="21"/>
        </w:rPr>
        <w:t>、法律适用及争议解决方式</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11.1</w:t>
      </w:r>
      <w:r>
        <w:rPr>
          <w:rFonts w:hint="eastAsia" w:asciiTheme="minorEastAsia" w:hAnsiTheme="minorEastAsia" w:eastAsiaTheme="minorEastAsia" w:cstheme="minorEastAsia"/>
          <w:sz w:val="21"/>
          <w:szCs w:val="21"/>
        </w:rPr>
        <w:t>如本合同附件中的条款或本合同签署之前所签署的任何文件与本合同的条款相冲突或不一致，以本合同为准。</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w:t>
      </w:r>
      <w:r>
        <w:rPr>
          <w:rFonts w:hint="eastAsia" w:asciiTheme="minorEastAsia" w:hAnsiTheme="minorEastAsia" w:eastAsiaTheme="minorEastAsia" w:cstheme="minorEastAsia"/>
          <w:sz w:val="21"/>
          <w:szCs w:val="21"/>
        </w:rPr>
        <w:t>本合同受中华人民共和国法律管辖，并按中华人民共和国法律解释。</w:t>
      </w:r>
    </w:p>
    <w:p>
      <w:pPr>
        <w:spacing w:line="560" w:lineRule="exact"/>
        <w:ind w:firstLine="420" w:firstLineChars="200"/>
        <w:rPr>
          <w:rFonts w:ascii="宋体" w:hAnsi="宋体" w:cs="宋体"/>
        </w:rPr>
      </w:pPr>
      <w:r>
        <w:rPr>
          <w:rFonts w:hint="eastAsia" w:ascii="宋体" w:hAnsi="宋体" w:cs="宋体"/>
          <w:lang w:val="en-US" w:eastAsia="zh-CN"/>
        </w:rPr>
        <w:t>11.3</w:t>
      </w:r>
      <w:r>
        <w:rPr>
          <w:rFonts w:hint="eastAsia" w:ascii="宋体" w:hAnsi="宋体" w:cs="宋体"/>
        </w:rPr>
        <w:t>因本合同引起的或与本合同有关的任何争议，</w:t>
      </w:r>
      <w:r>
        <w:rPr>
          <w:rFonts w:hint="eastAsia" w:asciiTheme="minorEastAsia" w:hAnsiTheme="minorEastAsia" w:eastAsiaTheme="minorEastAsia" w:cstheme="minorEastAsia"/>
          <w:szCs w:val="21"/>
        </w:rPr>
        <w:t>甲乙</w:t>
      </w:r>
      <w:r>
        <w:rPr>
          <w:rFonts w:hint="eastAsia" w:asciiTheme="minorEastAsia" w:hAnsiTheme="minorEastAsia" w:eastAsiaTheme="minorEastAsia" w:cstheme="minorEastAsia"/>
          <w:szCs w:val="21"/>
          <w:lang w:val="en-US" w:eastAsia="zh-CN"/>
        </w:rPr>
        <w:t>双</w:t>
      </w:r>
      <w:r>
        <w:rPr>
          <w:rFonts w:hint="eastAsia" w:asciiTheme="minorEastAsia" w:hAnsiTheme="minorEastAsia" w:eastAsiaTheme="minorEastAsia" w:cstheme="minorEastAsia"/>
          <w:szCs w:val="21"/>
        </w:rPr>
        <w:t>方先协商解决，协商不成的可自行提起诉讼，</w:t>
      </w:r>
      <w:r>
        <w:rPr>
          <w:rFonts w:hint="eastAsia" w:asciiTheme="minorEastAsia" w:hAnsiTheme="minorEastAsia" w:eastAsiaTheme="minorEastAsia" w:cstheme="minorEastAsia"/>
          <w:szCs w:val="21"/>
          <w:lang w:val="en-US" w:eastAsia="zh-CN"/>
        </w:rPr>
        <w:t>诉讼</w:t>
      </w:r>
      <w:r>
        <w:rPr>
          <w:rFonts w:hint="eastAsia" w:asciiTheme="minorEastAsia" w:hAnsiTheme="minorEastAsia" w:eastAsiaTheme="minorEastAsia" w:cstheme="minorEastAsia"/>
          <w:szCs w:val="21"/>
        </w:rPr>
        <w:t>由甲方所在地的</w:t>
      </w:r>
      <w:r>
        <w:rPr>
          <w:rFonts w:hint="eastAsia" w:asciiTheme="minorEastAsia" w:hAnsiTheme="minorEastAsia" w:eastAsiaTheme="minorEastAsia" w:cstheme="minorEastAsia"/>
          <w:szCs w:val="21"/>
          <w:lang w:val="en-US" w:eastAsia="zh-CN"/>
        </w:rPr>
        <w:t>人民</w:t>
      </w:r>
      <w:r>
        <w:rPr>
          <w:rFonts w:hint="eastAsia" w:asciiTheme="minorEastAsia" w:hAnsiTheme="minorEastAsia" w:eastAsiaTheme="minorEastAsia" w:cstheme="minorEastAsia"/>
          <w:szCs w:val="21"/>
        </w:rPr>
        <w:t>法院管辖</w:t>
      </w:r>
      <w:r>
        <w:rPr>
          <w:rFonts w:hint="eastAsia" w:ascii="宋体" w:hAnsi="宋体" w:cs="宋体"/>
        </w:rPr>
        <w:t>。</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w:t>
      </w:r>
      <w:r>
        <w:rPr>
          <w:rFonts w:hint="eastAsia" w:asciiTheme="minorEastAsia" w:hAnsiTheme="minorEastAsia" w:eastAsiaTheme="minorEastAsia" w:cstheme="minorEastAsia"/>
          <w:b/>
          <w:sz w:val="21"/>
          <w:szCs w:val="21"/>
          <w:lang w:eastAsia="zh-CN"/>
        </w:rPr>
        <w:t>二</w:t>
      </w:r>
      <w:r>
        <w:rPr>
          <w:rFonts w:hint="eastAsia" w:asciiTheme="minorEastAsia" w:hAnsiTheme="minorEastAsia" w:eastAsiaTheme="minorEastAsia" w:cstheme="minorEastAsia"/>
          <w:b/>
          <w:sz w:val="21"/>
          <w:szCs w:val="21"/>
        </w:rPr>
        <w:t>、合同生效及其他</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12.1</w:t>
      </w:r>
      <w:r>
        <w:rPr>
          <w:rFonts w:hint="eastAsia" w:asciiTheme="minorEastAsia" w:hAnsiTheme="minorEastAsia" w:eastAsiaTheme="minorEastAsia" w:cstheme="minorEastAsia"/>
          <w:sz w:val="21"/>
          <w:szCs w:val="21"/>
        </w:rPr>
        <w:t>本合同自双方授权代表签字并加盖公章之日起生效。</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12.2</w:t>
      </w:r>
      <w:r>
        <w:rPr>
          <w:rFonts w:hint="eastAsia" w:asciiTheme="minorEastAsia" w:hAnsiTheme="minorEastAsia" w:eastAsiaTheme="minorEastAsia" w:cstheme="minorEastAsia"/>
          <w:sz w:val="21"/>
          <w:szCs w:val="21"/>
        </w:rPr>
        <w:t>如发生以下情况，任何一方有权终止合同，但须以书面形式通知对方：</w:t>
      </w:r>
      <w:r>
        <w:rPr>
          <w:rFonts w:hint="eastAsia" w:asciiTheme="minorEastAsia" w:hAnsiTheme="minorEastAsia" w:eastAsiaTheme="minorEastAsia" w:cstheme="minorEastAsia"/>
          <w:sz w:val="21"/>
          <w:szCs w:val="21"/>
          <w:lang w:val="en-US" w:eastAsia="zh-CN"/>
        </w:rPr>
        <w:t>①</w:t>
      </w:r>
      <w:r>
        <w:rPr>
          <w:rFonts w:hint="eastAsia" w:asciiTheme="minorEastAsia" w:hAnsiTheme="minorEastAsia" w:eastAsiaTheme="minorEastAsia" w:cstheme="minorEastAsia"/>
          <w:sz w:val="21"/>
          <w:szCs w:val="21"/>
        </w:rPr>
        <w:t>一方进入破产、撤销或已进入清算阶段，或被解散、被依法关闭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②</w:t>
      </w:r>
      <w:r>
        <w:rPr>
          <w:rFonts w:hint="eastAsia" w:asciiTheme="minorEastAsia" w:hAnsiTheme="minorEastAsia" w:eastAsiaTheme="minorEastAsia" w:cstheme="minorEastAsia"/>
          <w:sz w:val="21"/>
          <w:szCs w:val="21"/>
        </w:rPr>
        <w:t>一方财务状况严重恶化，不能支付到期债务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③</w:t>
      </w:r>
      <w:r>
        <w:rPr>
          <w:rFonts w:hint="eastAsia" w:asciiTheme="minorEastAsia" w:hAnsiTheme="minorEastAsia" w:eastAsiaTheme="minorEastAsia" w:cstheme="minorEastAsia"/>
          <w:sz w:val="21"/>
          <w:szCs w:val="21"/>
        </w:rPr>
        <w:t>出现了本合同规定的或法定解除事由。</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12.3</w:t>
      </w:r>
      <w:r>
        <w:rPr>
          <w:rFonts w:hint="eastAsia" w:asciiTheme="minorEastAsia" w:hAnsiTheme="minorEastAsia" w:eastAsiaTheme="minorEastAsia" w:cstheme="minorEastAsia"/>
          <w:sz w:val="21"/>
          <w:szCs w:val="21"/>
        </w:rPr>
        <w:t>除本合同和法律法规另有规定外，任何一方发生上述情况，将被视作违约，另一方有权依照本合同的规定，追究该方的违约责任。</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12.4</w:t>
      </w:r>
      <w:r>
        <w:rPr>
          <w:rFonts w:hint="eastAsia" w:asciiTheme="minorEastAsia" w:hAnsiTheme="minorEastAsia" w:eastAsiaTheme="minorEastAsia" w:cstheme="minorEastAsia"/>
          <w:sz w:val="21"/>
          <w:szCs w:val="21"/>
        </w:rPr>
        <w:t>本合同一经签署，未经双方同意，任何一方不得随意更改本合同。本合同所列的附件为本合同不可分割的组成部分，与本合同具有同等的法律效力。其它任何口头或未包含在本合同内的，或未依据本合同制定的书面文件，均不对双方发生约束力。如本合同在履行过程中有任何变更、补充或修改，双方应另行签订书面补充协议。</w:t>
      </w:r>
    </w:p>
    <w:p>
      <w:pPr>
        <w:pStyle w:val="179"/>
        <w:keepNext w:val="0"/>
        <w:keepLines w:val="0"/>
        <w:pageBreakBefore w:val="0"/>
        <w:numPr>
          <w:ilvl w:val="0"/>
          <w:numId w:val="0"/>
        </w:numPr>
        <w:kinsoku/>
        <w:wordWrap/>
        <w:overflowPunct/>
        <w:topLinePunct w:val="0"/>
        <w:autoSpaceDE/>
        <w:autoSpaceDN/>
        <w:bidi w:val="0"/>
        <w:adjustRightInd w:val="0"/>
        <w:snapToGrid w:val="0"/>
        <w:spacing w:line="560" w:lineRule="exact"/>
        <w:ind w:right="-512" w:rightChars="-244" w:firstLine="420" w:firstLineChars="200"/>
        <w:contextualSpacing/>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12.5</w:t>
      </w:r>
      <w:r>
        <w:rPr>
          <w:rFonts w:hint="eastAsia" w:asciiTheme="minorEastAsia" w:hAnsiTheme="minorEastAsia" w:eastAsiaTheme="minorEastAsia" w:cstheme="minorEastAsia"/>
          <w:sz w:val="21"/>
          <w:szCs w:val="21"/>
          <w:highlight w:val="none"/>
          <w:lang w:val="en-US" w:eastAsia="zh-CN"/>
        </w:rPr>
        <w:t>合同订立后乙方合并的，由合并后的法人或者其他组织行使合同权利，履行合同义务。合同订立后乙方分立的，由分立的法人或者其他组织对合同的权利和义务享有连带债权，承担连带债务。</w:t>
      </w:r>
    </w:p>
    <w:p>
      <w:pPr>
        <w:pStyle w:val="179"/>
        <w:keepNext w:val="0"/>
        <w:keepLines w:val="0"/>
        <w:pageBreakBefore w:val="0"/>
        <w:numPr>
          <w:ilvl w:val="0"/>
          <w:numId w:val="0"/>
        </w:numPr>
        <w:kinsoku/>
        <w:wordWrap/>
        <w:overflowPunct/>
        <w:topLinePunct w:val="0"/>
        <w:autoSpaceDE/>
        <w:autoSpaceDN/>
        <w:bidi w:val="0"/>
        <w:adjustRightInd w:val="0"/>
        <w:snapToGrid w:val="0"/>
        <w:spacing w:line="560" w:lineRule="exact"/>
        <w:ind w:right="-512" w:rightChars="-244"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12.6</w:t>
      </w:r>
      <w:r>
        <w:rPr>
          <w:rFonts w:hint="eastAsia" w:asciiTheme="minorEastAsia" w:hAnsiTheme="minorEastAsia" w:eastAsiaTheme="minorEastAsia" w:cstheme="minorEastAsia"/>
          <w:sz w:val="21"/>
          <w:szCs w:val="21"/>
        </w:rPr>
        <w:t>、本合同</w:t>
      </w:r>
      <w:r>
        <w:rPr>
          <w:rFonts w:hint="eastAsia" w:asciiTheme="minorEastAsia" w:hAnsiTheme="minorEastAsia" w:eastAsiaTheme="minorEastAsia" w:cstheme="minorEastAsia"/>
          <w:color w:val="auto"/>
          <w:sz w:val="21"/>
          <w:szCs w:val="21"/>
          <w:u w:val="single"/>
          <w:shd w:val="clear" w:color="auto" w:fill="auto"/>
          <w:lang w:val="en-US" w:eastAsia="zh-CN"/>
        </w:rPr>
        <w:t xml:space="preserve">  贰  </w:t>
      </w:r>
      <w:r>
        <w:rPr>
          <w:rFonts w:hint="eastAsia" w:asciiTheme="minorEastAsia" w:hAnsiTheme="minorEastAsia" w:eastAsiaTheme="minorEastAsia" w:cstheme="minorEastAsia"/>
          <w:color w:val="auto"/>
          <w:sz w:val="21"/>
          <w:szCs w:val="21"/>
          <w:shd w:val="clear" w:color="auto" w:fill="auto"/>
        </w:rPr>
        <w:t>份，甲方</w:t>
      </w:r>
      <w:r>
        <w:rPr>
          <w:rFonts w:hint="eastAsia" w:asciiTheme="minorEastAsia" w:hAnsiTheme="minorEastAsia" w:eastAsiaTheme="minorEastAsia" w:cstheme="minorEastAsia"/>
          <w:color w:val="auto"/>
          <w:sz w:val="21"/>
          <w:szCs w:val="21"/>
          <w:u w:val="single"/>
          <w:shd w:val="clear" w:color="auto" w:fill="auto"/>
          <w:lang w:val="en-US" w:eastAsia="zh-CN"/>
        </w:rPr>
        <w:t xml:space="preserve">  壹  </w:t>
      </w:r>
      <w:r>
        <w:rPr>
          <w:rFonts w:hint="eastAsia" w:asciiTheme="minorEastAsia" w:hAnsiTheme="minorEastAsia" w:eastAsiaTheme="minorEastAsia" w:cstheme="minorEastAsia"/>
          <w:color w:val="auto"/>
          <w:sz w:val="21"/>
          <w:szCs w:val="21"/>
          <w:shd w:val="clear" w:color="auto" w:fill="auto"/>
        </w:rPr>
        <w:t>份，乙方</w:t>
      </w:r>
      <w:r>
        <w:rPr>
          <w:rFonts w:hint="eastAsia" w:asciiTheme="minorEastAsia" w:hAnsiTheme="minorEastAsia" w:eastAsiaTheme="minorEastAsia" w:cstheme="minorEastAsia"/>
          <w:color w:val="auto"/>
          <w:sz w:val="21"/>
          <w:szCs w:val="21"/>
          <w:u w:val="single"/>
          <w:shd w:val="clear" w:color="auto" w:fill="auto"/>
          <w:lang w:val="en-US" w:eastAsia="zh-CN"/>
        </w:rPr>
        <w:t xml:space="preserve">  壹  </w:t>
      </w:r>
      <w:r>
        <w:rPr>
          <w:rFonts w:hint="eastAsia" w:asciiTheme="minorEastAsia" w:hAnsiTheme="minorEastAsia" w:eastAsiaTheme="minorEastAsia" w:cstheme="minorEastAsia"/>
          <w:color w:val="auto"/>
          <w:sz w:val="21"/>
          <w:szCs w:val="21"/>
          <w:shd w:val="clear" w:color="auto" w:fill="auto"/>
        </w:rPr>
        <w:t>份</w:t>
      </w:r>
      <w:r>
        <w:rPr>
          <w:rFonts w:hint="eastAsia" w:asciiTheme="minorEastAsia" w:hAnsiTheme="minorEastAsia" w:eastAsiaTheme="minorEastAsia" w:cstheme="minorEastAsia"/>
          <w:sz w:val="21"/>
          <w:szCs w:val="21"/>
        </w:rPr>
        <w:t>，并具有同等的法律效力。</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w:t>
      </w:r>
      <w:r>
        <w:rPr>
          <w:rFonts w:hint="eastAsia" w:asciiTheme="minorEastAsia" w:hAnsiTheme="minorEastAsia" w:eastAsiaTheme="minorEastAsia" w:cstheme="minorEastAsia"/>
          <w:b/>
          <w:sz w:val="21"/>
          <w:szCs w:val="21"/>
          <w:lang w:eastAsia="zh-CN"/>
        </w:rPr>
        <w:t>三</w:t>
      </w:r>
      <w:r>
        <w:rPr>
          <w:rFonts w:hint="eastAsia" w:asciiTheme="minorEastAsia" w:hAnsiTheme="minorEastAsia" w:eastAsiaTheme="minorEastAsia" w:cstheme="minorEastAsia"/>
          <w:b/>
          <w:sz w:val="21"/>
          <w:szCs w:val="21"/>
        </w:rPr>
        <w:t>、通知及送达</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13.1</w:t>
      </w:r>
      <w:r>
        <w:rPr>
          <w:rFonts w:hint="eastAsia" w:asciiTheme="minorEastAsia" w:hAnsiTheme="minorEastAsia" w:eastAsiaTheme="minorEastAsia" w:cstheme="minorEastAsia"/>
          <w:sz w:val="21"/>
          <w:szCs w:val="21"/>
        </w:rPr>
        <w:t>任何一方向本协议另一方发出本合同规定的任何通知应以书面形式做出并以中文书写，以</w:t>
      </w:r>
      <w:r>
        <w:rPr>
          <w:rFonts w:hint="eastAsia" w:asciiTheme="minorEastAsia" w:hAnsiTheme="minorEastAsia" w:eastAsiaTheme="minorEastAsia" w:cstheme="minorEastAsia"/>
          <w:sz w:val="21"/>
          <w:szCs w:val="21"/>
          <w:lang w:val="en-US" w:eastAsia="zh-CN"/>
        </w:rPr>
        <w:t>邮寄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快递公司递交或专人送达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并将电子材料以电子邮件方式发送</w:t>
      </w:r>
      <w:r>
        <w:rPr>
          <w:rFonts w:hint="eastAsia" w:asciiTheme="minorEastAsia" w:hAnsiTheme="minorEastAsia" w:eastAsiaTheme="minorEastAsia" w:cstheme="minorEastAsia"/>
          <w:sz w:val="21"/>
          <w:szCs w:val="21"/>
        </w:rPr>
        <w:t>。一切通知和书面通讯均应发往本合同首页所列有关地址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联系人、联系人电子邮箱等</w:t>
      </w:r>
      <w:r>
        <w:rPr>
          <w:rFonts w:hint="eastAsia" w:asciiTheme="minorEastAsia" w:hAnsiTheme="minorEastAsia" w:eastAsiaTheme="minorEastAsia" w:cstheme="minorEastAsia"/>
          <w:sz w:val="21"/>
          <w:szCs w:val="21"/>
        </w:rPr>
        <w:t>，直到一方向另一方发出书面通知更改该地址为止。</w:t>
      </w:r>
    </w:p>
    <w:p>
      <w:pPr>
        <w:keepNext w:val="0"/>
        <w:keepLines w:val="0"/>
        <w:pageBreakBefore w:val="0"/>
        <w:kinsoku/>
        <w:wordWrap/>
        <w:overflowPunct/>
        <w:topLinePunct w:val="0"/>
        <w:autoSpaceDE/>
        <w:autoSpaceDN/>
        <w:bidi w:val="0"/>
        <w:adjustRightInd w:val="0"/>
        <w:snapToGrid w:val="0"/>
        <w:spacing w:line="560" w:lineRule="exact"/>
        <w:ind w:firstLine="422" w:firstLineChars="200"/>
        <w:outlineLvl w:val="0"/>
        <w:rPr>
          <w:rFonts w:hint="eastAsia" w:asciiTheme="minorEastAsia" w:hAnsiTheme="minorEastAsia" w:eastAsiaTheme="minorEastAsia" w:cstheme="minorEastAsia"/>
          <w:b/>
          <w:sz w:val="21"/>
          <w:szCs w:val="21"/>
        </w:rPr>
      </w:pPr>
      <w:bookmarkStart w:id="9" w:name="_Toc362871814"/>
      <w:r>
        <w:rPr>
          <w:rFonts w:hint="eastAsia" w:asciiTheme="minorEastAsia" w:hAnsiTheme="minorEastAsia" w:eastAsiaTheme="minorEastAsia" w:cstheme="minorEastAsia"/>
          <w:b/>
          <w:sz w:val="21"/>
          <w:szCs w:val="21"/>
          <w:lang w:val="en-US" w:eastAsia="zh-CN"/>
        </w:rPr>
        <w:t>十四</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附件</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1</w:t>
      </w:r>
      <w:bookmarkEnd w:id="9"/>
      <w:bookmarkStart w:id="10" w:name="_Toc362871830"/>
      <w:r>
        <w:rPr>
          <w:rFonts w:hint="eastAsia" w:asciiTheme="minorEastAsia" w:hAnsiTheme="minorEastAsia" w:eastAsiaTheme="minorEastAsia" w:cstheme="minorEastAsia"/>
          <w:b w:val="0"/>
          <w:bCs/>
          <w:sz w:val="21"/>
          <w:szCs w:val="21"/>
          <w:lang w:val="en-US" w:eastAsia="zh-CN"/>
        </w:rPr>
        <w:t>：保密协议</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2</w:t>
      </w:r>
      <w:bookmarkEnd w:id="10"/>
      <w:r>
        <w:rPr>
          <w:rFonts w:hint="eastAsia" w:asciiTheme="minorEastAsia" w:hAnsiTheme="minorEastAsia" w:eastAsiaTheme="minorEastAsia" w:cstheme="minorEastAsia"/>
          <w:b w:val="0"/>
          <w:bCs/>
          <w:sz w:val="21"/>
          <w:szCs w:val="21"/>
          <w:lang w:val="en-US" w:eastAsia="zh-CN"/>
        </w:rPr>
        <w:t>：服务内容</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（本条以下无正文）</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422" w:firstLineChars="200"/>
        <w:textAlignment w:val="auto"/>
        <w:rPr>
          <w:rFonts w:hint="eastAsia" w:ascii="宋体" w:hAnsi="宋体" w:cs="宋体"/>
          <w:b/>
          <w:szCs w:val="21"/>
          <w:u w:val="single"/>
          <w:lang w:val="en-US" w:eastAsia="zh-CN"/>
        </w:rPr>
      </w:pPr>
      <w:r>
        <w:rPr>
          <w:rFonts w:hint="eastAsia" w:ascii="宋体" w:hAnsi="宋体" w:cs="宋体"/>
          <w:b/>
          <w:szCs w:val="21"/>
          <w:lang w:val="en-US" w:eastAsia="zh-CN"/>
        </w:rPr>
        <w:t>甲</w:t>
      </w:r>
      <w:r>
        <w:rPr>
          <w:rFonts w:hint="eastAsia" w:ascii="宋体" w:hAnsi="宋体" w:cs="宋体"/>
          <w:b/>
          <w:szCs w:val="21"/>
        </w:rPr>
        <w:t xml:space="preserve">方：广西北部湾银行股份有限公司   </w:t>
      </w:r>
      <w:r>
        <w:rPr>
          <w:rFonts w:hint="eastAsia" w:ascii="宋体" w:hAnsi="宋体" w:cs="宋体"/>
          <w:b/>
          <w:szCs w:val="21"/>
          <w:lang w:val="en-US" w:eastAsia="zh-CN"/>
        </w:rPr>
        <w:t xml:space="preserve">  </w:t>
      </w:r>
      <w:r>
        <w:rPr>
          <w:rFonts w:hint="eastAsia" w:ascii="宋体" w:hAnsi="宋体" w:cs="宋体"/>
          <w:b/>
          <w:szCs w:val="21"/>
        </w:rPr>
        <w:t xml:space="preserve">    </w:t>
      </w:r>
      <w:r>
        <w:rPr>
          <w:rFonts w:hint="eastAsia" w:ascii="宋体" w:hAnsi="宋体" w:cs="宋体"/>
          <w:b/>
          <w:szCs w:val="21"/>
          <w:lang w:val="en-US" w:eastAsia="zh-CN"/>
        </w:rPr>
        <w:t>乙</w:t>
      </w:r>
      <w:r>
        <w:rPr>
          <w:rFonts w:hint="eastAsia" w:ascii="宋体" w:hAnsi="宋体" w:cs="宋体"/>
          <w:b/>
          <w:szCs w:val="21"/>
        </w:rPr>
        <w:t xml:space="preserve">方： </w:t>
      </w:r>
      <w:r>
        <w:rPr>
          <w:rFonts w:hint="eastAsia" w:ascii="宋体" w:hAnsi="宋体" w:cs="宋体"/>
          <w:b/>
          <w:szCs w:val="21"/>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422" w:firstLineChars="200"/>
        <w:textAlignment w:val="auto"/>
        <w:rPr>
          <w:rFonts w:hint="default" w:ascii="宋体" w:hAnsi="宋体" w:eastAsia="宋体" w:cs="宋体"/>
          <w:b/>
          <w:szCs w:val="21"/>
          <w:lang w:val="en-US" w:eastAsia="zh-CN"/>
        </w:rPr>
      </w:pPr>
      <w:r>
        <w:rPr>
          <w:rFonts w:hint="eastAsia" w:ascii="宋体" w:hAnsi="宋体" w:cs="宋体"/>
          <w:b/>
          <w:szCs w:val="21"/>
        </w:rPr>
        <w:t>法定代表人或授权</w:t>
      </w:r>
      <w:r>
        <w:rPr>
          <w:rFonts w:hint="eastAsia" w:ascii="宋体" w:hAnsi="宋体" w:cs="宋体"/>
          <w:b/>
          <w:szCs w:val="21"/>
          <w:lang w:val="en-US" w:eastAsia="zh-CN"/>
        </w:rPr>
        <w:t>代表</w:t>
      </w:r>
      <w:r>
        <w:rPr>
          <w:rFonts w:hint="eastAsia" w:ascii="宋体" w:hAnsi="宋体" w:cs="宋体"/>
          <w:b/>
          <w:szCs w:val="21"/>
        </w:rPr>
        <w:t>人：（签章）</w:t>
      </w:r>
      <w:r>
        <w:rPr>
          <w:rFonts w:hint="eastAsia" w:ascii="宋体" w:hAnsi="宋体" w:cs="宋体"/>
          <w:b/>
          <w:szCs w:val="21"/>
          <w:lang w:val="en-US" w:eastAsia="zh-CN"/>
        </w:rPr>
        <w:t xml:space="preserve">         法定代表人或授权代表人：（签章）</w:t>
      </w:r>
    </w:p>
    <w:p>
      <w:pPr>
        <w:keepNext w:val="0"/>
        <w:keepLines w:val="0"/>
        <w:pageBreakBefore w:val="0"/>
        <w:widowControl/>
        <w:kinsoku/>
        <w:wordWrap/>
        <w:overflowPunct/>
        <w:topLinePunct w:val="0"/>
        <w:autoSpaceDE/>
        <w:autoSpaceDN/>
        <w:bidi w:val="0"/>
        <w:adjustRightInd w:val="0"/>
        <w:snapToGrid w:val="0"/>
        <w:spacing w:line="560" w:lineRule="exact"/>
        <w:ind w:firstLine="422" w:firstLineChars="200"/>
        <w:textAlignment w:val="auto"/>
        <w:rPr>
          <w:rFonts w:hint="eastAsia" w:ascii="宋体" w:hAnsi="宋体" w:cs="宋体"/>
          <w:b/>
          <w:szCs w:val="21"/>
        </w:rPr>
      </w:pPr>
    </w:p>
    <w:p>
      <w:pPr>
        <w:keepNext w:val="0"/>
        <w:keepLines w:val="0"/>
        <w:pageBreakBefore w:val="0"/>
        <w:widowControl/>
        <w:kinsoku/>
        <w:wordWrap/>
        <w:overflowPunct/>
        <w:topLinePunct w:val="0"/>
        <w:autoSpaceDE/>
        <w:autoSpaceDN/>
        <w:bidi w:val="0"/>
        <w:adjustRightInd w:val="0"/>
        <w:snapToGrid w:val="0"/>
        <w:spacing w:line="560" w:lineRule="exact"/>
        <w:ind w:firstLine="422" w:firstLineChars="200"/>
        <w:textAlignment w:val="auto"/>
        <w:rPr>
          <w:rFonts w:hint="eastAsia" w:ascii="宋体" w:hAnsi="宋体" w:cs="宋体"/>
          <w:b/>
          <w:szCs w:val="21"/>
          <w:lang w:eastAsia="zh-CN"/>
        </w:rPr>
      </w:pPr>
      <w:r>
        <w:rPr>
          <w:rFonts w:hint="eastAsia" w:ascii="宋体" w:hAnsi="宋体" w:cs="宋体"/>
          <w:b/>
          <w:szCs w:val="21"/>
        </w:rPr>
        <w:t>日</w:t>
      </w:r>
      <w:r>
        <w:rPr>
          <w:rFonts w:hint="eastAsia" w:ascii="宋体" w:hAnsi="宋体" w:cs="宋体"/>
          <w:b/>
          <w:szCs w:val="21"/>
          <w:lang w:val="en-US" w:eastAsia="zh-CN"/>
        </w:rPr>
        <w:t xml:space="preserve">  </w:t>
      </w:r>
      <w:r>
        <w:rPr>
          <w:rFonts w:hint="eastAsia" w:ascii="宋体" w:hAnsi="宋体" w:cs="宋体"/>
          <w:b/>
          <w:szCs w:val="21"/>
        </w:rPr>
        <w:t xml:space="preserve">期：                       </w:t>
      </w:r>
      <w:r>
        <w:rPr>
          <w:rFonts w:hint="eastAsia" w:ascii="宋体" w:hAnsi="宋体" w:cs="宋体"/>
          <w:b/>
          <w:szCs w:val="21"/>
          <w:lang w:val="en-US" w:eastAsia="zh-CN"/>
        </w:rPr>
        <w:t xml:space="preserve">   </w:t>
      </w:r>
      <w:r>
        <w:rPr>
          <w:rFonts w:hint="eastAsia"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日</w:t>
      </w:r>
      <w:r>
        <w:rPr>
          <w:rFonts w:hint="eastAsia" w:ascii="宋体" w:hAnsi="宋体" w:cs="宋体"/>
          <w:b/>
          <w:szCs w:val="21"/>
          <w:lang w:val="en-US" w:eastAsia="zh-CN"/>
        </w:rPr>
        <w:t xml:space="preserve">  </w:t>
      </w:r>
      <w:r>
        <w:rPr>
          <w:rFonts w:hint="eastAsia" w:ascii="宋体" w:hAnsi="宋体" w:cs="宋体"/>
          <w:b/>
          <w:szCs w:val="21"/>
        </w:rPr>
        <w:t>期</w:t>
      </w:r>
      <w:r>
        <w:rPr>
          <w:rFonts w:hint="eastAsia" w:ascii="宋体" w:hAnsi="宋体" w:cs="宋体"/>
          <w:b/>
          <w:szCs w:val="21"/>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b w:val="0"/>
          <w:bCs/>
          <w:sz w:val="21"/>
          <w:szCs w:val="21"/>
          <w:lang w:eastAsia="zh-CN"/>
        </w:rPr>
      </w:pPr>
    </w:p>
    <w:p>
      <w:pPr>
        <w:keepNext w:val="0"/>
        <w:keepLines w:val="0"/>
        <w:pageBreakBefore w:val="0"/>
        <w:kinsoku/>
        <w:wordWrap/>
        <w:overflowPunct/>
        <w:topLinePunct w:val="0"/>
        <w:autoSpaceDE/>
        <w:autoSpaceDN/>
        <w:bidi w:val="0"/>
        <w:adjustRightInd w:val="0"/>
        <w:snapToGrid w:val="0"/>
        <w:spacing w:line="560" w:lineRule="exact"/>
        <w:ind w:firstLine="420" w:firstLineChars="200"/>
        <w:rPr>
          <w:rFonts w:hint="eastAsia" w:asciiTheme="minorEastAsia" w:hAnsiTheme="minorEastAsia" w:eastAsiaTheme="minorEastAsia" w:cstheme="minorEastAsia"/>
          <w:b w:val="0"/>
          <w:bCs/>
          <w:sz w:val="21"/>
          <w:szCs w:val="21"/>
          <w:lang w:val="en-US" w:eastAsia="zh-CN"/>
        </w:rPr>
      </w:pPr>
    </w:p>
    <w:p>
      <w:pPr>
        <w:rPr>
          <w:rFonts w:hint="eastAsia"/>
        </w:rPr>
      </w:pPr>
      <w:r>
        <w:rPr>
          <w:rFonts w:hint="eastAsia"/>
          <w:lang w:val="en-US" w:eastAsia="zh-CN"/>
        </w:rPr>
        <w:br w:type="page"/>
      </w:r>
    </w:p>
    <w:p>
      <w:pPr>
        <w:keepNext/>
        <w:keepLines/>
        <w:pageBreakBefore w:val="0"/>
        <w:widowControl w:val="0"/>
        <w:numPr>
          <w:ilvl w:val="0"/>
          <w:numId w:val="0"/>
        </w:numPr>
        <w:kinsoku/>
        <w:wordWrap/>
        <w:overflowPunct/>
        <w:topLinePunct w:val="0"/>
        <w:autoSpaceDE/>
        <w:autoSpaceDN/>
        <w:bidi w:val="0"/>
        <w:adjustRightInd w:val="0"/>
        <w:snapToGrid w:val="0"/>
        <w:spacing w:before="60" w:after="60" w:line="560" w:lineRule="exact"/>
        <w:ind w:left="431" w:hanging="431"/>
        <w:jc w:val="left"/>
        <w:textAlignment w:val="auto"/>
        <w:outlineLvl w:val="0"/>
        <w:rPr>
          <w:rFonts w:hint="eastAsia" w:asciiTheme="minorEastAsia" w:hAnsiTheme="minorEastAsia" w:eastAsiaTheme="minorEastAsia" w:cstheme="minorEastAsia"/>
          <w:b/>
          <w:bCs/>
          <w:color w:val="auto"/>
          <w:kern w:val="44"/>
          <w:sz w:val="21"/>
          <w:szCs w:val="21"/>
          <w:shd w:val="clear" w:color="auto" w:fill="auto"/>
          <w:lang w:val="en-US" w:eastAsia="zh-CN"/>
        </w:rPr>
      </w:pPr>
      <w:r>
        <w:rPr>
          <w:rFonts w:hint="eastAsia" w:asciiTheme="minorEastAsia" w:hAnsiTheme="minorEastAsia" w:eastAsiaTheme="minorEastAsia" w:cstheme="minorEastAsia"/>
          <w:b/>
          <w:bCs/>
          <w:color w:val="auto"/>
          <w:kern w:val="44"/>
          <w:sz w:val="21"/>
          <w:szCs w:val="21"/>
          <w:shd w:val="clear" w:color="auto" w:fill="auto"/>
          <w:lang w:val="en-US" w:eastAsia="zh-CN"/>
        </w:rPr>
        <w:t>附件1：保密协议</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FF0000"/>
          <w:sz w:val="21"/>
          <w:szCs w:val="21"/>
        </w:rPr>
        <w:tab/>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披露方：</w:t>
      </w:r>
      <w:r>
        <w:rPr>
          <w:rFonts w:hint="eastAsia" w:asciiTheme="minorEastAsia" w:hAnsiTheme="minorEastAsia" w:eastAsiaTheme="minorEastAsia" w:cstheme="minorEastAsia"/>
          <w:kern w:val="0"/>
          <w:sz w:val="21"/>
          <w:szCs w:val="21"/>
          <w:u w:val="single"/>
        </w:rPr>
        <w:t>广西北部湾银行股份有限公司</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接受方：</w:t>
      </w:r>
      <w:r>
        <w:rPr>
          <w:rFonts w:hint="eastAsia" w:asciiTheme="minorEastAsia" w:hAnsiTheme="minorEastAsia" w:eastAsiaTheme="minorEastAsia" w:cstheme="minorEastAsia"/>
          <w:color w:val="auto"/>
          <w:sz w:val="21"/>
          <w:szCs w:val="21"/>
          <w:u w:val="single"/>
          <w:lang w:val="en-US" w:eastAsia="zh-CN"/>
        </w:rPr>
        <w:t>XXX</w:t>
      </w:r>
      <w:r>
        <w:rPr>
          <w:rFonts w:hint="eastAsia" w:asciiTheme="minorEastAsia" w:hAnsiTheme="minorEastAsia" w:eastAsiaTheme="minorEastAsia" w:cstheme="minorEastAsia"/>
          <w:color w:val="auto"/>
          <w:sz w:val="21"/>
          <w:szCs w:val="21"/>
          <w:u w:val="single"/>
        </w:rPr>
        <w:t>公司</w:t>
      </w:r>
    </w:p>
    <w:p>
      <w:pPr>
        <w:pageBreakBefore w:val="0"/>
        <w:kinsoku/>
        <w:wordWrap/>
        <w:overflowPunct/>
        <w:topLinePunct w:val="0"/>
        <w:bidi w:val="0"/>
        <w:adjustRightInd w:val="0"/>
        <w:snapToGrid w:val="0"/>
        <w:spacing w:line="560" w:lineRule="exact"/>
        <w:ind w:firstLine="422" w:firstLineChars="200"/>
        <w:rPr>
          <w:rFonts w:hint="eastAsia" w:asciiTheme="minorEastAsia" w:hAnsiTheme="minorEastAsia" w:eastAsiaTheme="minorEastAsia" w:cstheme="minorEastAsia"/>
          <w:b/>
          <w:sz w:val="21"/>
          <w:szCs w:val="21"/>
        </w:rPr>
      </w:pPr>
    </w:p>
    <w:p>
      <w:pPr>
        <w:pageBreakBefore w:val="0"/>
        <w:kinsoku/>
        <w:wordWrap/>
        <w:overflowPunct/>
        <w:topLinePunct w:val="0"/>
        <w:bidi w:val="0"/>
        <w:adjustRightInd w:val="0"/>
        <w:snapToGrid w:val="0"/>
        <w:spacing w:line="560" w:lineRule="exact"/>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鉴于：</w:t>
      </w:r>
      <w:r>
        <w:rPr>
          <w:rFonts w:hint="eastAsia" w:asciiTheme="minorEastAsia" w:hAnsiTheme="minorEastAsia" w:eastAsiaTheme="minorEastAsia" w:cstheme="minorEastAsia"/>
          <w:sz w:val="21"/>
          <w:szCs w:val="21"/>
        </w:rPr>
        <w:t>接受方为披露方提供</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z w:val="21"/>
          <w:szCs w:val="21"/>
          <w:lang w:eastAsia="zh-CN"/>
        </w:rPr>
        <w:t>建设</w:t>
      </w:r>
      <w:r>
        <w:rPr>
          <w:rFonts w:hint="eastAsia" w:asciiTheme="minorEastAsia" w:hAnsiTheme="minorEastAsia" w:eastAsiaTheme="minorEastAsia" w:cstheme="minorEastAsia"/>
          <w:sz w:val="21"/>
          <w:szCs w:val="21"/>
        </w:rPr>
        <w:t>服务，双方希望为上述事宜相互提供或透露其保密信息，一方（“披露方”）已经或将要向另一方（“接受方”）披露（或接受方可能得知）某些专有性或保密性信息，且该等信息属披露方合法所有或掌握。</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披露方和接受方在下文中可单独称为“一方”或合称为“双方”。本协议就披露方提供的信息或资料的保密事宜，经双方协商达成本协议，约定如下：</w:t>
      </w:r>
    </w:p>
    <w:p>
      <w:pPr>
        <w:pStyle w:val="31"/>
        <w:pageBreakBefore w:val="0"/>
        <w:kinsoku/>
        <w:wordWrap/>
        <w:overflowPunct/>
        <w:topLinePunct w:val="0"/>
        <w:bidi w:val="0"/>
        <w:adjustRightInd w:val="0"/>
        <w:snapToGrid w:val="0"/>
        <w:spacing w:line="56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第一条 保密信息的定义</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本协议所指保密信息是指：披露方拥有、占有或控制、对其具有商业价值或者效用的，并向接受方披露的、与协议目的有关的任何信息和资料，不论该等信息或资料采用何种媒介作为载体，如书面或口头、计算机磁盘、光盘读取器、光盘、硬盘或软件中以数字方式存储、电子邮件、电磁记录、录音录像、笔记、图纸、保护或记录的信息及纸张或任何其他载体上记录的信息。该等信息包括但不限于：</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业务模式及其相关内容、技术方案、设计要求、服务内容、实现方法、运作流程、技术指标、软件系统、数据库、运行环境、作业平台、测试结果、图纸、模版、模型、使用手册、技术文档、工作计划、实施进度、工作成果及涉及技术秘密的通知函电等；</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（2）披露方工商登记文件、内部管理规章、各类决议或其他内部文件；</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（3）披露方各类合同/协议及其草稿；</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（4）披露方的关联方相关信息；</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（5）披露方各种营业、融资、对外投资等方面的计划及安排；</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（6）披露方客户、合作伙伴以及其与披露方的交易；</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（7）披露方作为无形资产的各类技术资料，包括但不限于专利技术、非专利技术、计算机软件、著作权等；</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（8）披露方在项目合作中及之前向接受方提供的保密信息；</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（9）披露方未公开的产品计划、设计、成本、价格、财务、营销计划、商业机会、预测、专有技术、第三方保密信息；</w:t>
      </w:r>
    </w:p>
    <w:p>
      <w:pPr>
        <w:adjustRightInd w:val="0"/>
        <w:snapToGrid w:val="0"/>
        <w:spacing w:line="5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（10）披露方系统技术架构、网络拓扑、网络架构规划信息、主机网络设备IP信息、主机网络设备、操作系统数据库等软件信息。</w:t>
      </w:r>
    </w:p>
    <w:p>
      <w:pPr>
        <w:adjustRightInd w:val="0"/>
        <w:snapToGrid w:val="0"/>
        <w:spacing w:line="5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（11）接受方通过对披露方信息系统进行安全评估后，发现的信息系统或主机网络设备存在的安全风险、漏洞详细信息和攻击细节等信息。</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）其他与披露方业务、战略制定有关的信息。</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1.2上述保密信息不包括：</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（1）双方签署合作协议前已经公开的信息；</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（2）接受方或其代表从第三方获得的信息，并且就接受方或其代表所知晓，该第三方与披露方之间不存在任何协议、法律或代理义务而禁止其向接受方提供该信息；</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（3）接受方未利用披露方提供的保密信息而独立开发的信息。</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1.3披露方在提供保密信息时，如无明确的相反意思表示，则以任何形式提供的上述保密信息均属保密信息，接受方均应履行保密义务。</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协议所称“披露方”包括披露方、披露方的工作人员及披露方的关联公司，“接受方”包括本协议信息接受方及其可能知悉保密信息的董事、监事、高级管理人员、员工、股东、顾问及其他相关人员，也包括信息接受方的母公司、分公司、子公司等其他关联公司。</w:t>
      </w:r>
    </w:p>
    <w:p>
      <w:pPr>
        <w:pStyle w:val="31"/>
        <w:pageBreakBefore w:val="0"/>
        <w:kinsoku/>
        <w:wordWrap/>
        <w:overflowPunct/>
        <w:topLinePunct w:val="0"/>
        <w:bidi w:val="0"/>
        <w:adjustRightInd w:val="0"/>
        <w:snapToGrid w:val="0"/>
        <w:spacing w:line="56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第二条 保密</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2.1接受方保证该保密信息仅用于与本项目合作有关的用途，接受方不得利用保密信息进行本项目合作以外的其他用途。</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2.2接受方保证对披露方所提供的保密信息采取严格保密措施予以保管，按本协议约定予以保密，接受方不得直接或间接地以任何方式披露保密信息。</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接受方保证为项目合作的目的仅可向接受方有知悉必要的人员或咨询顾问（以下合称“关联人员”）披露保密信息，关联人员须履行与接受方同等的保密义务。在关联人员知悉该保密信息前，接受方应向其提示保密信息的保密性和应承担的义务，接受方承诺促使所有已知悉该等保密信息的关联人员遵守本协议的条款，犹如该关联人员为本协议的签署一方，且接受方同意就任何由关联人员违反本协议条款的行为负责。在遵守前述约定的前提下，披露方同意接受方向关联人员披露保密信息不属于违反本协议的约定。</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如果接受方应法院、证券交易所或其他司法、行政、证券/金融监管机关等有权机关之要求，或根据法律、法规、行政规章、或监管政策之规定需要提供保密信息，包括但不限于通过口头提问、询问、要求资料或文件、传唤、民事或刑事调查或其他程序提供保密信息，接受方应在提供信息前通知披露方，以使披露方能够寻求合适的保护或使接受方免除相应披露义务，必须披露的，接受方仅可以披露要求或规定提供的那部分保密信息。</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2.5本协议的任何规定均不得被视为向接受方授予任何保密信息的任何专有权、所有权、许可或权益。保密信息应始终为披露方所有。</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2.6本协议的签署、保密信息的披露以及与本协议目的有关的任何讨论、谈判或其它任何形式的交流均不得构成并不得被认为双方已经就协议目的达成有约束力的协议，也不得认定任何一方已</w:t>
      </w:r>
      <w:r>
        <w:rPr>
          <w:rFonts w:hint="eastAsia" w:asciiTheme="minorEastAsia" w:hAnsiTheme="minorEastAsia" w:eastAsiaTheme="minorEastAsia" w:cstheme="minorEastAsia"/>
          <w:sz w:val="21"/>
          <w:szCs w:val="21"/>
          <w:lang w:val="en-US" w:eastAsia="zh-CN"/>
        </w:rPr>
        <w:t>做</w:t>
      </w:r>
      <w:r>
        <w:rPr>
          <w:rFonts w:hint="eastAsia" w:asciiTheme="minorEastAsia" w:hAnsiTheme="minorEastAsia" w:eastAsiaTheme="minorEastAsia" w:cstheme="minorEastAsia"/>
          <w:sz w:val="21"/>
          <w:szCs w:val="21"/>
        </w:rPr>
        <w:t>出签署与协议目的有关的协议的任何承诺。</w:t>
      </w:r>
    </w:p>
    <w:p>
      <w:pPr>
        <w:pStyle w:val="31"/>
        <w:pageBreakBefore w:val="0"/>
        <w:kinsoku/>
        <w:wordWrap/>
        <w:overflowPunct/>
        <w:topLinePunct w:val="0"/>
        <w:bidi w:val="0"/>
        <w:adjustRightInd w:val="0"/>
        <w:snapToGrid w:val="0"/>
        <w:spacing w:line="56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  按要求返还及销毁</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双方合作因故终止或披露方提出要求时，接受方应立即按披露方之要求向披露方返还或销毁其掌握的保密信息，并书面证明已经销毁保密信息以及载有保密信息的各种媒介。接受方对于保密信息的保密义务不因资料的返还或销毁而失效。</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3.2除按照法律或监管要求留存的备份外，接受方不得保留保密信息的任何副本或复印件。接受方因法律或监管要求需要留存备份的，应事先通知披露方，并向披露方说明留存内容及留存理由。</w:t>
      </w:r>
    </w:p>
    <w:p>
      <w:pPr>
        <w:pStyle w:val="31"/>
        <w:pageBreakBefore w:val="0"/>
        <w:kinsoku/>
        <w:wordWrap/>
        <w:overflowPunct/>
        <w:topLinePunct w:val="0"/>
        <w:bidi w:val="0"/>
        <w:adjustRightInd w:val="0"/>
        <w:snapToGrid w:val="0"/>
        <w:spacing w:line="56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第四条 违约责任</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4.1双方确认及同意，本协议所述保密信息是披露方的宝贵、非公开或专有的信息，未经授权的披露或违反本协议而使用保密信息会对披露方造成重大损害。</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4.2接受方违反本协议项下的条款均被视为违约，接受方应承担相应的违约责任，赔偿披露方因接受方的违约行为所遭受的经济损失，并承担披露方消除影响所支付的必要费用。</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4.3接受方违约导致披露方受到损害的，披露方可立即终止与接受方签署的其他业务合作协议，而无需承担任何违约责任。</w:t>
      </w:r>
    </w:p>
    <w:p>
      <w:pPr>
        <w:pStyle w:val="31"/>
        <w:pageBreakBefore w:val="0"/>
        <w:kinsoku/>
        <w:wordWrap/>
        <w:overflowPunct/>
        <w:topLinePunct w:val="0"/>
        <w:bidi w:val="0"/>
        <w:adjustRightInd w:val="0"/>
        <w:snapToGrid w:val="0"/>
        <w:spacing w:line="560" w:lineRule="exact"/>
        <w:ind w:firstLine="422"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第五条 </w:t>
      </w:r>
      <w:r>
        <w:rPr>
          <w:rFonts w:hint="eastAsia" w:asciiTheme="minorEastAsia" w:hAnsiTheme="minorEastAsia" w:eastAsiaTheme="minorEastAsia" w:cstheme="minorEastAsia"/>
          <w:sz w:val="21"/>
          <w:szCs w:val="21"/>
          <w:lang w:val="en-US" w:eastAsia="zh-CN"/>
        </w:rPr>
        <w:t>保密</w:t>
      </w:r>
      <w:r>
        <w:rPr>
          <w:rFonts w:hint="eastAsia" w:asciiTheme="minorEastAsia" w:hAnsiTheme="minorEastAsia" w:eastAsiaTheme="minorEastAsia" w:cstheme="minorEastAsia"/>
          <w:sz w:val="21"/>
          <w:szCs w:val="21"/>
        </w:rPr>
        <w:t>期</w:t>
      </w:r>
      <w:r>
        <w:rPr>
          <w:rFonts w:hint="eastAsia" w:asciiTheme="minorEastAsia" w:hAnsiTheme="minorEastAsia" w:eastAsiaTheme="minorEastAsia" w:cstheme="minorEastAsia"/>
          <w:sz w:val="21"/>
          <w:szCs w:val="21"/>
          <w:lang w:val="en-US" w:eastAsia="zh-CN"/>
        </w:rPr>
        <w:t>限</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5.1协议保密期限自本协议生效日起至保密信息公开止。</w:t>
      </w:r>
    </w:p>
    <w:p>
      <w:pPr>
        <w:pStyle w:val="31"/>
        <w:pageBreakBefore w:val="0"/>
        <w:kinsoku/>
        <w:wordWrap/>
        <w:overflowPunct/>
        <w:topLinePunct w:val="0"/>
        <w:bidi w:val="0"/>
        <w:adjustRightInd w:val="0"/>
        <w:snapToGrid w:val="0"/>
        <w:spacing w:line="56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第六条 法律适用和争议解决</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6.1本协议受中华人民共和国法律管辖与解释。</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因在发生因履行本协议而引起的或与本协议有关的争议时，双方应首先通过友好协商解决争议。如果争议在一方送交书面要求开始协商的通知后60天内未能解决，双方同意将争议提交甲方所在地有管辖权的人民法院。</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6.3当产生任何争议时，除争议事项外，双方应继续行使本协议项下的其他权利，履行本协议项下的其他义务。</w:t>
      </w:r>
    </w:p>
    <w:p>
      <w:pPr>
        <w:pStyle w:val="31"/>
        <w:pageBreakBefore w:val="0"/>
        <w:kinsoku/>
        <w:wordWrap/>
        <w:overflowPunct/>
        <w:topLinePunct w:val="0"/>
        <w:bidi w:val="0"/>
        <w:adjustRightInd w:val="0"/>
        <w:snapToGrid w:val="0"/>
        <w:spacing w:line="56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第七条 其他</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7.1如果本协议的任何条款在任何时候变成不合法、无效或不可强制执行，本协议的其它条款不受影响。</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7.2本协议各条标题仅为提示之用，应以条文内容确定双方之权利、义务。</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7.3本协议构成双方就保密信息达成的全部协议，取代此前任何有关保密信息的口头或书面协议。本协议的修改或豁免任何义务须经过双方签署书面协议方可生效。</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本协议任何一方未行使或延误行使其在本协议下的任何权利不得构成该方对该等权利的放弃，而且一方对本协议或其下的任何权利任何一次或者部分实施也不会排除该方对本协议或其下的任何权利的任何其他或者进一步行使。</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7.5本协议的变更或修改须采用书面形式，并经双方加盖公章后生效。</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7.6本协议</w:t>
      </w:r>
      <w:r>
        <w:rPr>
          <w:rFonts w:hint="eastAsia" w:asciiTheme="minorEastAsia" w:hAnsiTheme="minorEastAsia" w:eastAsiaTheme="minorEastAsia" w:cstheme="minorEastAsia"/>
          <w:color w:val="auto"/>
          <w:sz w:val="21"/>
          <w:szCs w:val="21"/>
          <w:u w:val="single"/>
          <w:shd w:val="clear" w:color="auto" w:fill="auto"/>
          <w:lang w:val="en-US" w:eastAsia="zh-CN"/>
        </w:rPr>
        <w:t xml:space="preserve">  贰  </w:t>
      </w:r>
      <w:r>
        <w:rPr>
          <w:rFonts w:hint="eastAsia" w:asciiTheme="minorEastAsia" w:hAnsiTheme="minorEastAsia" w:eastAsiaTheme="minorEastAsia" w:cstheme="minorEastAsia"/>
          <w:color w:val="auto"/>
          <w:sz w:val="21"/>
          <w:szCs w:val="21"/>
          <w:shd w:val="clear" w:color="auto" w:fill="auto"/>
        </w:rPr>
        <w:t>份，</w:t>
      </w:r>
      <w:r>
        <w:rPr>
          <w:rFonts w:hint="eastAsia" w:asciiTheme="minorEastAsia" w:hAnsiTheme="minorEastAsia" w:eastAsiaTheme="minorEastAsia" w:cstheme="minorEastAsia"/>
          <w:color w:val="auto"/>
          <w:sz w:val="21"/>
          <w:szCs w:val="21"/>
          <w:shd w:val="clear" w:color="auto" w:fill="auto"/>
          <w:lang w:val="en-US" w:eastAsia="zh-CN"/>
        </w:rPr>
        <w:t>披露</w:t>
      </w:r>
      <w:r>
        <w:rPr>
          <w:rFonts w:hint="eastAsia" w:asciiTheme="minorEastAsia" w:hAnsiTheme="minorEastAsia" w:eastAsiaTheme="minorEastAsia" w:cstheme="minorEastAsia"/>
          <w:color w:val="auto"/>
          <w:sz w:val="21"/>
          <w:szCs w:val="21"/>
          <w:shd w:val="clear" w:color="auto" w:fill="auto"/>
        </w:rPr>
        <w:t>方</w:t>
      </w:r>
      <w:r>
        <w:rPr>
          <w:rFonts w:hint="eastAsia" w:asciiTheme="minorEastAsia" w:hAnsiTheme="minorEastAsia" w:eastAsiaTheme="minorEastAsia" w:cstheme="minorEastAsia"/>
          <w:color w:val="auto"/>
          <w:sz w:val="21"/>
          <w:szCs w:val="21"/>
          <w:u w:val="single"/>
          <w:shd w:val="clear" w:color="auto" w:fill="auto"/>
          <w:lang w:val="en-US" w:eastAsia="zh-CN"/>
        </w:rPr>
        <w:t xml:space="preserve">  壹  </w:t>
      </w:r>
      <w:r>
        <w:rPr>
          <w:rFonts w:hint="eastAsia" w:asciiTheme="minorEastAsia" w:hAnsiTheme="minorEastAsia" w:eastAsiaTheme="minorEastAsia" w:cstheme="minorEastAsia"/>
          <w:color w:val="auto"/>
          <w:sz w:val="21"/>
          <w:szCs w:val="21"/>
          <w:shd w:val="clear" w:color="auto" w:fill="auto"/>
        </w:rPr>
        <w:t>份，</w:t>
      </w:r>
      <w:r>
        <w:rPr>
          <w:rFonts w:hint="eastAsia" w:asciiTheme="minorEastAsia" w:hAnsiTheme="minorEastAsia" w:eastAsiaTheme="minorEastAsia" w:cstheme="minorEastAsia"/>
          <w:color w:val="auto"/>
          <w:sz w:val="21"/>
          <w:szCs w:val="21"/>
          <w:shd w:val="clear" w:color="auto" w:fill="auto"/>
          <w:lang w:val="en-US" w:eastAsia="zh-CN"/>
        </w:rPr>
        <w:t>接受</w:t>
      </w:r>
      <w:r>
        <w:rPr>
          <w:rFonts w:hint="eastAsia" w:asciiTheme="minorEastAsia" w:hAnsiTheme="minorEastAsia" w:eastAsiaTheme="minorEastAsia" w:cstheme="minorEastAsia"/>
          <w:color w:val="auto"/>
          <w:sz w:val="21"/>
          <w:szCs w:val="21"/>
          <w:shd w:val="clear" w:color="auto" w:fill="auto"/>
        </w:rPr>
        <w:t>方</w:t>
      </w:r>
      <w:r>
        <w:rPr>
          <w:rFonts w:hint="eastAsia" w:asciiTheme="minorEastAsia" w:hAnsiTheme="minorEastAsia" w:eastAsiaTheme="minorEastAsia" w:cstheme="minorEastAsia"/>
          <w:color w:val="auto"/>
          <w:sz w:val="21"/>
          <w:szCs w:val="21"/>
          <w:u w:val="single"/>
          <w:shd w:val="clear" w:color="auto" w:fill="auto"/>
          <w:lang w:val="en-US" w:eastAsia="zh-CN"/>
        </w:rPr>
        <w:t xml:space="preserve">  壹  </w:t>
      </w:r>
      <w:r>
        <w:rPr>
          <w:rFonts w:hint="eastAsia" w:asciiTheme="minorEastAsia" w:hAnsiTheme="minorEastAsia" w:eastAsiaTheme="minorEastAsia" w:cstheme="minorEastAsia"/>
          <w:color w:val="auto"/>
          <w:sz w:val="21"/>
          <w:szCs w:val="21"/>
          <w:shd w:val="clear" w:color="auto" w:fill="auto"/>
        </w:rPr>
        <w:t>份</w:t>
      </w:r>
      <w:r>
        <w:rPr>
          <w:rFonts w:hint="eastAsia" w:asciiTheme="minorEastAsia" w:hAnsiTheme="minorEastAsia" w:eastAsiaTheme="minorEastAsia" w:cstheme="minorEastAsia"/>
          <w:sz w:val="21"/>
          <w:szCs w:val="21"/>
        </w:rPr>
        <w:t>，具有同等效力。</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422" w:firstLineChars="200"/>
        <w:rPr>
          <w:rFonts w:hint="eastAsia" w:asciiTheme="minorEastAsia" w:hAnsiTheme="minorEastAsia" w:eastAsiaTheme="minorEastAsia" w:cstheme="minorEastAsia"/>
          <w:b/>
          <w:sz w:val="21"/>
          <w:szCs w:val="21"/>
          <w:u w:val="single"/>
          <w:lang w:val="en-US" w:eastAsia="zh-CN"/>
        </w:rPr>
      </w:pPr>
      <w:r>
        <w:rPr>
          <w:rFonts w:hint="eastAsia" w:asciiTheme="minorEastAsia" w:hAnsiTheme="minorEastAsia" w:eastAsiaTheme="minorEastAsia" w:cstheme="minorEastAsia"/>
          <w:b/>
          <w:sz w:val="21"/>
          <w:szCs w:val="21"/>
          <w:lang w:val="en-US" w:eastAsia="zh-CN"/>
        </w:rPr>
        <w:t>披露</w:t>
      </w:r>
      <w:r>
        <w:rPr>
          <w:rFonts w:hint="eastAsia" w:asciiTheme="minorEastAsia" w:hAnsiTheme="minorEastAsia" w:eastAsiaTheme="minorEastAsia" w:cstheme="minorEastAsia"/>
          <w:b/>
          <w:sz w:val="21"/>
          <w:szCs w:val="21"/>
        </w:rPr>
        <w:t xml:space="preserve">方：广西北部湾银行股份有限公司       </w:t>
      </w:r>
      <w:r>
        <w:rPr>
          <w:rFonts w:hint="eastAsia" w:asciiTheme="minorEastAsia" w:hAnsiTheme="minorEastAsia" w:eastAsiaTheme="minorEastAsia" w:cstheme="minorEastAsia"/>
          <w:b/>
          <w:sz w:val="21"/>
          <w:szCs w:val="21"/>
          <w:lang w:val="en-US" w:eastAsia="zh-CN"/>
        </w:rPr>
        <w:t>接受</w:t>
      </w:r>
      <w:r>
        <w:rPr>
          <w:rFonts w:hint="eastAsia" w:asciiTheme="minorEastAsia" w:hAnsiTheme="minorEastAsia" w:eastAsiaTheme="minorEastAsia" w:cstheme="minorEastAsia"/>
          <w:b/>
          <w:sz w:val="21"/>
          <w:szCs w:val="21"/>
        </w:rPr>
        <w:t xml:space="preserve">方： </w:t>
      </w:r>
      <w:r>
        <w:rPr>
          <w:rFonts w:hint="eastAsia" w:asciiTheme="minorEastAsia" w:hAnsiTheme="minorEastAsia" w:eastAsiaTheme="minorEastAsia" w:cstheme="minorEastAsia"/>
          <w:b/>
          <w:sz w:val="21"/>
          <w:szCs w:val="21"/>
          <w:u w:val="single"/>
          <w:lang w:val="en-US" w:eastAsia="zh-CN"/>
        </w:rPr>
        <w:t xml:space="preserve">                          </w:t>
      </w:r>
    </w:p>
    <w:p>
      <w:pPr>
        <w:pageBreakBefore w:val="0"/>
        <w:widowControl/>
        <w:kinsoku/>
        <w:wordWrap/>
        <w:overflowPunct/>
        <w:topLinePunct w:val="0"/>
        <w:bidi w:val="0"/>
        <w:adjustRightInd w:val="0"/>
        <w:snapToGrid w:val="0"/>
        <w:spacing w:line="560" w:lineRule="exact"/>
        <w:ind w:firstLine="422" w:firstLineChars="200"/>
        <w:rPr>
          <w:rFonts w:hint="eastAsia" w:asciiTheme="minorEastAsia" w:hAnsiTheme="minorEastAsia" w:eastAsiaTheme="minorEastAsia" w:cstheme="minorEastAsia"/>
          <w:b/>
          <w:sz w:val="21"/>
          <w:szCs w:val="21"/>
        </w:rPr>
      </w:pPr>
    </w:p>
    <w:p>
      <w:pPr>
        <w:pStyle w:val="3"/>
        <w:pageBreakBefore w:val="0"/>
        <w:kinsoku/>
        <w:wordWrap/>
        <w:overflowPunct/>
        <w:topLinePunct w:val="0"/>
        <w:bidi w:val="0"/>
        <w:adjustRightInd w:val="0"/>
        <w:snapToGrid w:val="0"/>
        <w:spacing w:line="560" w:lineRule="exact"/>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日</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 xml:space="preserve">期：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 xml:space="preserve">           日</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期</w:t>
      </w:r>
      <w:r>
        <w:rPr>
          <w:rFonts w:hint="eastAsia" w:asciiTheme="minorEastAsia" w:hAnsiTheme="minorEastAsia" w:eastAsiaTheme="minorEastAsia" w:cstheme="minorEastAsia"/>
          <w:b/>
          <w:sz w:val="21"/>
          <w:szCs w:val="21"/>
          <w:lang w:eastAsia="zh-CN"/>
        </w:rPr>
        <w:t>：</w:t>
      </w:r>
    </w:p>
    <w:p>
      <w:pPr>
        <w:pageBreakBefore w:val="0"/>
        <w:kinsoku/>
        <w:wordWrap/>
        <w:overflowPunct/>
        <w:topLinePunct w:val="0"/>
        <w:bidi w:val="0"/>
        <w:adjustRightInd w:val="0"/>
        <w:snapToGrid w:val="0"/>
        <w:spacing w:line="560" w:lineRule="exact"/>
        <w:ind w:firstLine="420" w:firstLineChars="200"/>
        <w:rPr>
          <w:rFonts w:hint="eastAsia" w:asciiTheme="minorEastAsia" w:hAnsiTheme="minorEastAsia" w:eastAsiaTheme="minorEastAsia" w:cstheme="minorEastAsia"/>
          <w:sz w:val="21"/>
          <w:szCs w:val="21"/>
        </w:rPr>
      </w:pPr>
    </w:p>
    <w:p>
      <w:pPr>
        <w:pStyle w:val="52"/>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52"/>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52"/>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52"/>
        <w:rPr>
          <w:rFonts w:hint="eastAsia" w:asciiTheme="minorEastAsia" w:hAnsiTheme="minorEastAsia" w:eastAsiaTheme="minorEastAsia" w:cstheme="minorEastAsia"/>
          <w:sz w:val="21"/>
          <w:szCs w:val="21"/>
        </w:rPr>
      </w:pPr>
    </w:p>
    <w:p>
      <w:pPr>
        <w:rPr>
          <w:rFonts w:hint="eastAsia"/>
          <w:lang w:val="en-US" w:eastAsia="zh-CN"/>
        </w:rPr>
      </w:pPr>
      <w:r>
        <w:rPr>
          <w:rFonts w:hint="eastAsia"/>
        </w:rPr>
        <w:br w:type="page"/>
      </w:r>
    </w:p>
    <w:p>
      <w:pPr>
        <w:keepNext/>
        <w:keepLines/>
        <w:pageBreakBefore w:val="0"/>
        <w:widowControl w:val="0"/>
        <w:numPr>
          <w:ilvl w:val="0"/>
          <w:numId w:val="0"/>
        </w:numPr>
        <w:kinsoku/>
        <w:wordWrap/>
        <w:overflowPunct/>
        <w:topLinePunct w:val="0"/>
        <w:autoSpaceDE/>
        <w:autoSpaceDN/>
        <w:bidi w:val="0"/>
        <w:adjustRightInd w:val="0"/>
        <w:snapToGrid w:val="0"/>
        <w:spacing w:before="60" w:after="60" w:line="560" w:lineRule="exact"/>
        <w:ind w:left="431" w:hanging="431"/>
        <w:jc w:val="left"/>
        <w:textAlignment w:val="auto"/>
        <w:outlineLvl w:val="0"/>
        <w:rPr>
          <w:rFonts w:hint="eastAsia" w:asciiTheme="minorEastAsia" w:hAnsiTheme="minorEastAsia" w:eastAsiaTheme="minorEastAsia" w:cstheme="minorEastAsia"/>
          <w:b/>
          <w:bCs/>
          <w:color w:val="auto"/>
          <w:kern w:val="44"/>
          <w:sz w:val="21"/>
          <w:szCs w:val="21"/>
          <w:shd w:val="clear" w:color="auto" w:fill="auto"/>
          <w:lang w:val="en-US" w:eastAsia="zh-CN"/>
        </w:rPr>
      </w:pPr>
      <w:r>
        <w:rPr>
          <w:rFonts w:hint="eastAsia" w:asciiTheme="minorEastAsia" w:hAnsiTheme="minorEastAsia" w:eastAsiaTheme="minorEastAsia" w:cstheme="minorEastAsia"/>
          <w:b/>
          <w:bCs/>
          <w:color w:val="auto"/>
          <w:kern w:val="44"/>
          <w:sz w:val="21"/>
          <w:szCs w:val="21"/>
          <w:shd w:val="clear" w:color="auto" w:fill="auto"/>
          <w:lang w:val="en-US" w:eastAsia="zh-CN"/>
        </w:rPr>
        <w:t>附件2：服务内容</w:t>
      </w:r>
    </w:p>
    <w:p>
      <w:pPr>
        <w:pStyle w:val="121"/>
        <w:pageBreakBefore w:val="0"/>
        <w:widowControl/>
        <w:kinsoku/>
        <w:wordWrap/>
        <w:overflowPunct/>
        <w:topLinePunct w:val="0"/>
        <w:bidi w:val="0"/>
        <w:adjustRightInd w:val="0"/>
        <w:snapToGrid w:val="0"/>
        <w:spacing w:line="560" w:lineRule="exact"/>
        <w:ind w:firstLine="422" w:firstLineChars="200"/>
        <w:rPr>
          <w:rFonts w:hint="eastAsia" w:asciiTheme="minorEastAsia" w:hAnsiTheme="minorEastAsia" w:eastAsiaTheme="minorEastAsia" w:cstheme="minorEastAsia"/>
          <w:b/>
          <w:sz w:val="21"/>
          <w:szCs w:val="21"/>
          <w:highlight w:val="none"/>
          <w:lang w:val="en-US" w:eastAsia="zh-CN"/>
        </w:rPr>
      </w:pPr>
    </w:p>
    <w:p>
      <w:pPr>
        <w:pStyle w:val="121"/>
        <w:pageBreakBefore w:val="0"/>
        <w:widowControl/>
        <w:kinsoku/>
        <w:wordWrap/>
        <w:overflowPunct/>
        <w:topLinePunct w:val="0"/>
        <w:bidi w:val="0"/>
        <w:adjustRightInd w:val="0"/>
        <w:snapToGrid w:val="0"/>
        <w:spacing w:line="560" w:lineRule="exact"/>
        <w:ind w:firstLine="422" w:firstLineChars="200"/>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val="en-US" w:eastAsia="zh-CN"/>
        </w:rPr>
        <w:t>一、维保服务内容</w:t>
      </w:r>
      <w:r>
        <w:rPr>
          <w:rFonts w:hint="eastAsia" w:asciiTheme="minorEastAsia" w:hAnsiTheme="minorEastAsia" w:eastAsiaTheme="minorEastAsia" w:cstheme="minorEastAsia"/>
          <w:b/>
          <w:sz w:val="21"/>
          <w:szCs w:val="21"/>
          <w:highlight w:val="none"/>
          <w:lang w:eastAsia="zh-CN"/>
        </w:rPr>
        <w:t>：</w:t>
      </w:r>
    </w:p>
    <w:tbl>
      <w:tblPr>
        <w:tblStyle w:val="43"/>
        <w:tblW w:w="8926" w:type="dxa"/>
        <w:jc w:val="center"/>
        <w:tblLayout w:type="fixed"/>
        <w:tblCellMar>
          <w:top w:w="0" w:type="dxa"/>
          <w:left w:w="108" w:type="dxa"/>
          <w:bottom w:w="0" w:type="dxa"/>
          <w:right w:w="108" w:type="dxa"/>
        </w:tblCellMar>
      </w:tblPr>
      <w:tblGrid>
        <w:gridCol w:w="1858"/>
        <w:gridCol w:w="3006"/>
        <w:gridCol w:w="1275"/>
        <w:gridCol w:w="2787"/>
      </w:tblGrid>
      <w:tr>
        <w:tblPrEx>
          <w:tblCellMar>
            <w:top w:w="0" w:type="dxa"/>
            <w:left w:w="108" w:type="dxa"/>
            <w:bottom w:w="0" w:type="dxa"/>
            <w:right w:w="108" w:type="dxa"/>
          </w:tblCellMar>
        </w:tblPrEx>
        <w:trPr>
          <w:trHeight w:val="900" w:hRule="atLeast"/>
          <w:jc w:val="center"/>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地址</w:t>
            </w:r>
          </w:p>
        </w:tc>
        <w:tc>
          <w:tcPr>
            <w:tcW w:w="3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机组数量</w:t>
            </w:r>
          </w:p>
        </w:tc>
        <w:tc>
          <w:tcPr>
            <w:tcW w:w="27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品牌</w:t>
            </w:r>
          </w:p>
        </w:tc>
      </w:tr>
      <w:tr>
        <w:tblPrEx>
          <w:tblCellMar>
            <w:top w:w="0" w:type="dxa"/>
            <w:left w:w="108" w:type="dxa"/>
            <w:bottom w:w="0" w:type="dxa"/>
            <w:right w:w="108" w:type="dxa"/>
          </w:tblCellMar>
        </w:tblPrEx>
        <w:trPr>
          <w:trHeight w:val="1407" w:hRule="atLeast"/>
          <w:jc w:val="center"/>
        </w:trPr>
        <w:tc>
          <w:tcPr>
            <w:tcW w:w="18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Cs/>
                <w:color w:val="000000"/>
                <w:sz w:val="21"/>
                <w:szCs w:val="21"/>
              </w:rPr>
              <w:t>金融大厦同城数据中心</w:t>
            </w:r>
            <w:r>
              <w:rPr>
                <w:rFonts w:hint="eastAsia" w:ascii="方正仿宋_GBK" w:hAnsi="方正仿宋_GBK" w:eastAsia="方正仿宋_GBK" w:cs="方正仿宋_GBK"/>
                <w:bCs/>
                <w:color w:val="000000"/>
                <w:sz w:val="21"/>
                <w:szCs w:val="21"/>
                <w:lang w:eastAsia="zh-CN"/>
              </w:rPr>
              <w:t>、</w:t>
            </w:r>
            <w:r>
              <w:rPr>
                <w:rFonts w:hint="eastAsia" w:ascii="方正仿宋_GBK" w:hAnsi="方正仿宋_GBK" w:eastAsia="方正仿宋_GBK" w:cs="方正仿宋_GBK"/>
                <w:bCs/>
                <w:color w:val="000000"/>
                <w:sz w:val="21"/>
                <w:szCs w:val="21"/>
              </w:rPr>
              <w:t>五象总部大厦数据中心</w:t>
            </w:r>
            <w:r>
              <w:rPr>
                <w:rFonts w:hint="eastAsia" w:ascii="方正仿宋_GBK" w:hAnsi="方正仿宋_GBK" w:eastAsia="方正仿宋_GBK" w:cs="方正仿宋_GBK"/>
                <w:bCs/>
                <w:color w:val="000000"/>
                <w:sz w:val="21"/>
                <w:szCs w:val="21"/>
                <w:lang w:eastAsia="zh-CN"/>
              </w:rPr>
              <w:t>、</w:t>
            </w:r>
            <w:r>
              <w:rPr>
                <w:rFonts w:hint="eastAsia" w:ascii="方正仿宋_GBK" w:hAnsi="方正仿宋_GBK" w:eastAsia="方正仿宋_GBK" w:cs="方正仿宋_GBK"/>
                <w:bCs/>
                <w:color w:val="000000"/>
                <w:sz w:val="21"/>
                <w:szCs w:val="21"/>
                <w:lang w:val="en-US" w:eastAsia="zh-CN"/>
              </w:rPr>
              <w:t>贺州灾备中心</w:t>
            </w: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1、对发电机系统进行日常维护保养、包括更换机油滤清器、柴油滤清器、空气滤清器、机油、防冻液、启动蓄电池（14块200AH免维护发电机组专用蓄电池）。</w:t>
            </w:r>
          </w:p>
        </w:tc>
        <w:tc>
          <w:tcPr>
            <w:tcW w:w="12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台</w:t>
            </w:r>
          </w:p>
        </w:tc>
        <w:tc>
          <w:tcPr>
            <w:tcW w:w="278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贺州灾备中心：玉柴400KW机组1台</w:t>
            </w:r>
          </w:p>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五象数据中心：卡特彼勒</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3516B</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 xml:space="preserve"> 3台</w:t>
            </w:r>
          </w:p>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（机组功率额定1800KW）</w:t>
            </w:r>
            <w:r>
              <w:rPr>
                <w:rFonts w:hint="eastAsia" w:ascii="方正仿宋_GBK" w:hAnsi="方正仿宋_GBK" w:eastAsia="方正仿宋_GBK" w:cs="方正仿宋_GBK"/>
                <w:sz w:val="21"/>
                <w:szCs w:val="21"/>
              </w:rPr>
              <w:t>。</w:t>
            </w:r>
          </w:p>
          <w:p>
            <w:pPr>
              <w:pStyle w:val="2"/>
              <w:jc w:val="center"/>
              <w:rPr>
                <w:rFonts w:hint="eastAsia" w:ascii="方正仿宋_GBK" w:hAnsi="方正仿宋_GBK" w:eastAsia="方正仿宋_GBK" w:cs="方正仿宋_GBK"/>
                <w:kern w:val="2"/>
                <w:sz w:val="21"/>
                <w:szCs w:val="21"/>
                <w:lang w:val="en-US" w:eastAsia="zh-CN"/>
              </w:rPr>
            </w:pPr>
            <w:r>
              <w:rPr>
                <w:rFonts w:hint="eastAsia" w:ascii="方正仿宋_GBK" w:hAnsi="方正仿宋_GBK" w:eastAsia="方正仿宋_GBK" w:cs="方正仿宋_GBK"/>
                <w:kern w:val="2"/>
                <w:sz w:val="21"/>
                <w:szCs w:val="21"/>
              </w:rPr>
              <w:t>金融大厦同城数据中心：博威玉柴</w:t>
            </w:r>
            <w:r>
              <w:rPr>
                <w:rFonts w:hint="eastAsia" w:ascii="方正仿宋_GBK" w:hAnsi="方正仿宋_GBK" w:eastAsia="方正仿宋_GBK" w:cs="方正仿宋_GBK"/>
                <w:kern w:val="2"/>
                <w:sz w:val="21"/>
                <w:szCs w:val="21"/>
                <w:lang w:eastAsia="zh-CN"/>
              </w:rPr>
              <w:t>（</w:t>
            </w:r>
            <w:r>
              <w:rPr>
                <w:rFonts w:hint="eastAsia" w:ascii="方正仿宋_GBK" w:hAnsi="方正仿宋_GBK" w:eastAsia="方正仿宋_GBK" w:cs="方正仿宋_GBK"/>
                <w:kern w:val="2"/>
                <w:sz w:val="21"/>
                <w:szCs w:val="21"/>
                <w:lang w:val="en-US" w:eastAsia="zh-CN"/>
              </w:rPr>
              <w:t>PWY688</w:t>
            </w:r>
            <w:r>
              <w:rPr>
                <w:rFonts w:hint="eastAsia" w:ascii="方正仿宋_GBK" w:hAnsi="方正仿宋_GBK" w:eastAsia="方正仿宋_GBK" w:cs="方正仿宋_GBK"/>
                <w:kern w:val="2"/>
                <w:sz w:val="21"/>
                <w:szCs w:val="21"/>
                <w:lang w:eastAsia="zh-CN"/>
              </w:rPr>
              <w:t>）</w:t>
            </w:r>
            <w:r>
              <w:rPr>
                <w:rFonts w:hint="eastAsia" w:ascii="方正仿宋_GBK" w:hAnsi="方正仿宋_GBK" w:eastAsia="方正仿宋_GBK" w:cs="方正仿宋_GBK"/>
                <w:kern w:val="2"/>
                <w:sz w:val="21"/>
                <w:szCs w:val="21"/>
              </w:rPr>
              <w:t>500KW机组1台</w:t>
            </w:r>
            <w:r>
              <w:rPr>
                <w:rFonts w:hint="eastAsia" w:ascii="方正仿宋_GBK" w:hAnsi="方正仿宋_GBK" w:eastAsia="方正仿宋_GBK" w:cs="方正仿宋_GBK"/>
                <w:kern w:val="2"/>
                <w:sz w:val="21"/>
                <w:szCs w:val="21"/>
                <w:lang w:eastAsia="zh-CN"/>
              </w:rPr>
              <w:t>、</w:t>
            </w:r>
            <w:r>
              <w:rPr>
                <w:rFonts w:hint="eastAsia" w:ascii="方正仿宋_GBK" w:hAnsi="方正仿宋_GBK" w:eastAsia="方正仿宋_GBK" w:cs="方正仿宋_GBK"/>
                <w:kern w:val="2"/>
                <w:sz w:val="21"/>
                <w:szCs w:val="21"/>
                <w:lang w:val="en-US" w:eastAsia="zh-CN"/>
              </w:rPr>
              <w:t>康明斯（KTA19-G6A）500KW机组1台。</w:t>
            </w:r>
          </w:p>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以上设备</w:t>
            </w:r>
            <w:r>
              <w:rPr>
                <w:rFonts w:hint="eastAsia" w:ascii="方正仿宋_GBK" w:hAnsi="方正仿宋_GBK" w:eastAsia="方正仿宋_GBK" w:cs="方正仿宋_GBK"/>
                <w:sz w:val="21"/>
                <w:szCs w:val="21"/>
              </w:rPr>
              <w:t>输出电压等级均为0.4kV</w:t>
            </w:r>
          </w:p>
        </w:tc>
      </w:tr>
      <w:tr>
        <w:tblPrEx>
          <w:tblCellMar>
            <w:top w:w="0" w:type="dxa"/>
            <w:left w:w="108" w:type="dxa"/>
            <w:bottom w:w="0" w:type="dxa"/>
            <w:right w:w="108" w:type="dxa"/>
          </w:tblCellMar>
        </w:tblPrEx>
        <w:trPr>
          <w:trHeight w:val="1571" w:hRule="atLeast"/>
          <w:jc w:val="center"/>
        </w:trPr>
        <w:tc>
          <w:tcPr>
            <w:tcW w:w="1858" w:type="dxa"/>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2、现场演练支撑服务、技术咨询服务、年度决算支撑服务、包括金融同城数据中心以及五象数据中心发电机组相关的第三方检测时技术支撑服务等（如有）。</w:t>
            </w:r>
          </w:p>
        </w:tc>
        <w:tc>
          <w:tcPr>
            <w:tcW w:w="1275" w:type="dxa"/>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c>
          <w:tcPr>
            <w:tcW w:w="2787" w:type="dxa"/>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1571" w:hRule="atLeast"/>
          <w:jc w:val="center"/>
        </w:trPr>
        <w:tc>
          <w:tcPr>
            <w:tcW w:w="1858" w:type="dxa"/>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3、包括贺州灾备中心定期的断电演练支撑，包括不限于季度断电演练、日常故障排除以及技术服务与技术支撑等。</w:t>
            </w:r>
          </w:p>
        </w:tc>
        <w:tc>
          <w:tcPr>
            <w:tcW w:w="1275" w:type="dxa"/>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c>
          <w:tcPr>
            <w:tcW w:w="2787" w:type="dxa"/>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bl>
    <w:p>
      <w:pPr>
        <w:pStyle w:val="121"/>
        <w:pageBreakBefore w:val="0"/>
        <w:widowControl/>
        <w:kinsoku/>
        <w:wordWrap/>
        <w:overflowPunct/>
        <w:topLinePunct w:val="0"/>
        <w:bidi w:val="0"/>
        <w:adjustRightInd w:val="0"/>
        <w:snapToGrid w:val="0"/>
        <w:spacing w:line="560" w:lineRule="exact"/>
        <w:ind w:firstLine="422" w:firstLineChars="200"/>
        <w:jc w:val="both"/>
        <w:outlineLvl w:val="9"/>
        <w:rPr>
          <w:rFonts w:hint="eastAsia" w:asciiTheme="minorEastAsia" w:hAnsiTheme="minorEastAsia" w:eastAsiaTheme="minorEastAsia" w:cstheme="minorEastAsia"/>
          <w:b/>
          <w:bCs w:val="0"/>
          <w:sz w:val="21"/>
          <w:szCs w:val="21"/>
          <w:highlight w:val="none"/>
          <w:lang w:val="en-US" w:eastAsia="zh-CN"/>
        </w:rPr>
      </w:pPr>
    </w:p>
    <w:p>
      <w:pPr>
        <w:pStyle w:val="121"/>
        <w:pageBreakBefore w:val="0"/>
        <w:widowControl/>
        <w:kinsoku/>
        <w:wordWrap/>
        <w:overflowPunct/>
        <w:topLinePunct w:val="0"/>
        <w:bidi w:val="0"/>
        <w:adjustRightInd w:val="0"/>
        <w:snapToGrid w:val="0"/>
        <w:spacing w:line="560" w:lineRule="exact"/>
        <w:ind w:firstLine="422" w:firstLineChars="200"/>
        <w:jc w:val="both"/>
        <w:outlineLvl w:val="9"/>
        <w:rPr>
          <w:rFonts w:hint="eastAsia"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val="en-US" w:eastAsia="zh-CN"/>
        </w:rPr>
        <w:t>二、设备维保服务项目清单</w:t>
      </w:r>
    </w:p>
    <w:tbl>
      <w:tblPr>
        <w:tblStyle w:val="43"/>
        <w:tblW w:w="7845" w:type="dxa"/>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1"/>
        <w:gridCol w:w="1845"/>
        <w:gridCol w:w="1016"/>
        <w:gridCol w:w="705"/>
        <w:gridCol w:w="705"/>
        <w:gridCol w:w="2233"/>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611"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both"/>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both"/>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设备名称</w:t>
            </w:r>
          </w:p>
        </w:tc>
        <w:tc>
          <w:tcPr>
            <w:tcW w:w="10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both"/>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型  号</w:t>
            </w:r>
          </w:p>
        </w:tc>
        <w:tc>
          <w:tcPr>
            <w:tcW w:w="70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both"/>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both"/>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单位</w:t>
            </w:r>
          </w:p>
        </w:tc>
        <w:tc>
          <w:tcPr>
            <w:tcW w:w="2233"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both"/>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序列号</w:t>
            </w:r>
          </w:p>
        </w:tc>
        <w:tc>
          <w:tcPr>
            <w:tcW w:w="73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both"/>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机器所在城市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南宁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南宁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233" w:type="dxa"/>
            <w:tcBorders>
              <w:top w:val="single" w:color="000000" w:sz="4" w:space="0"/>
              <w:left w:val="single" w:color="000000" w:sz="4" w:space="0"/>
              <w:bottom w:val="single" w:color="000000" w:sz="4" w:space="0"/>
              <w:right w:val="single" w:color="000000" w:sz="4" w:space="0"/>
            </w:tcBorders>
            <w:shd w:val="clear" w:color="F7F8FC" w:fill="F7F8FC"/>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南宁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233" w:type="dxa"/>
            <w:tcBorders>
              <w:top w:val="single" w:color="000000" w:sz="4" w:space="0"/>
              <w:left w:val="single" w:color="000000" w:sz="4" w:space="0"/>
              <w:bottom w:val="single" w:color="000000" w:sz="4" w:space="0"/>
              <w:right w:val="single" w:color="000000" w:sz="4" w:space="0"/>
            </w:tcBorders>
            <w:shd w:val="clear" w:color="F7F8FC" w:fill="F7F8FC"/>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南宁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233" w:type="dxa"/>
            <w:tcBorders>
              <w:top w:val="single" w:color="000000" w:sz="4" w:space="0"/>
              <w:left w:val="single" w:color="000000" w:sz="4" w:space="0"/>
              <w:bottom w:val="single" w:color="000000" w:sz="4" w:space="0"/>
              <w:right w:val="single" w:color="000000" w:sz="4" w:space="0"/>
            </w:tcBorders>
            <w:shd w:val="clear" w:color="F7F8FC" w:fill="F7F8FC"/>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南宁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233" w:type="dxa"/>
            <w:tcBorders>
              <w:top w:val="single" w:color="000000" w:sz="4" w:space="0"/>
              <w:left w:val="single" w:color="000000" w:sz="4" w:space="0"/>
              <w:bottom w:val="single" w:color="000000" w:sz="4" w:space="0"/>
              <w:right w:val="single" w:color="000000" w:sz="4" w:space="0"/>
            </w:tcBorders>
            <w:shd w:val="clear" w:color="F7F8FC" w:fill="F7F8FC"/>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i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贺州</w:t>
            </w:r>
          </w:p>
        </w:tc>
      </w:tr>
    </w:tbl>
    <w:p>
      <w:pPr>
        <w:pStyle w:val="52"/>
        <w:pageBreakBefore w:val="0"/>
        <w:kinsoku/>
        <w:wordWrap/>
        <w:overflowPunct/>
        <w:topLinePunct w:val="0"/>
        <w:bidi w:val="0"/>
        <w:adjustRightInd w:val="0"/>
        <w:snapToGrid w:val="0"/>
        <w:spacing w:before="0" w:beforeAutospacing="0" w:after="0" w:afterAutospacing="0" w:line="560" w:lineRule="exact"/>
        <w:ind w:left="0" w:leftChars="0" w:firstLine="422" w:firstLineChars="200"/>
        <w:rPr>
          <w:rFonts w:hint="eastAsia" w:asciiTheme="minorEastAsia" w:hAnsiTheme="minorEastAsia" w:eastAsiaTheme="minorEastAsia" w:cstheme="minorEastAsia"/>
          <w:b/>
          <w:i w:val="0"/>
          <w:color w:val="000000"/>
          <w:kern w:val="0"/>
          <w:sz w:val="21"/>
          <w:szCs w:val="21"/>
          <w:u w:val="none"/>
          <w:lang w:val="en-US" w:eastAsia="zh-CN" w:bidi="ar"/>
        </w:rPr>
      </w:pPr>
    </w:p>
    <w:p>
      <w:pPr>
        <w:pStyle w:val="121"/>
        <w:pageBreakBefore w:val="0"/>
        <w:widowControl/>
        <w:kinsoku/>
        <w:wordWrap/>
        <w:overflowPunct/>
        <w:topLinePunct w:val="0"/>
        <w:bidi w:val="0"/>
        <w:adjustRightInd w:val="0"/>
        <w:snapToGrid w:val="0"/>
        <w:spacing w:line="560" w:lineRule="exact"/>
        <w:ind w:firstLine="422" w:firstLineChars="200"/>
        <w:outlineLvl w:val="9"/>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i w:val="0"/>
          <w:kern w:val="1"/>
          <w:sz w:val="21"/>
          <w:szCs w:val="21"/>
          <w:highlight w:val="none"/>
          <w:u w:val="none"/>
          <w:lang w:val="en-US" w:eastAsia="zh-CN" w:bidi="ar"/>
        </w:rPr>
        <w:t>三、服务标准</w:t>
      </w:r>
    </w:p>
    <w:p>
      <w:pPr>
        <w:pStyle w:val="52"/>
        <w:pageBreakBefore w:val="0"/>
        <w:kinsoku/>
        <w:wordWrap/>
        <w:overflowPunct/>
        <w:topLinePunct w:val="0"/>
        <w:bidi w:val="0"/>
        <w:adjustRightInd w:val="0"/>
        <w:snapToGrid w:val="0"/>
        <w:spacing w:line="560" w:lineRule="exact"/>
        <w:ind w:firstLine="420" w:firstLineChars="200"/>
        <w:rPr>
          <w:rFonts w:hint="eastAsia"/>
        </w:rPr>
      </w:pPr>
      <w:r>
        <w:rPr>
          <w:rFonts w:hint="eastAsia" w:asciiTheme="minorEastAsia" w:hAnsiTheme="minorEastAsia" w:eastAsia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rPr>
        <w:t>在本合同有效期内，即使某些产品停产，</w:t>
      </w:r>
      <w:r>
        <w:rPr>
          <w:rFonts w:hint="eastAsia" w:asciiTheme="minorEastAsia" w:hAnsiTheme="minorEastAsia" w:eastAsiaTheme="minorEastAsia" w:cstheme="minorEastAsia"/>
          <w:kern w:val="0"/>
          <w:sz w:val="21"/>
          <w:szCs w:val="21"/>
          <w:highlight w:val="none"/>
          <w:u w:val="single"/>
        </w:rPr>
        <w:t>乙方</w:t>
      </w:r>
      <w:r>
        <w:rPr>
          <w:rFonts w:hint="eastAsia" w:asciiTheme="minorEastAsia" w:hAnsiTheme="minorEastAsia" w:eastAsiaTheme="minorEastAsia" w:cstheme="minorEastAsia"/>
          <w:kern w:val="0"/>
          <w:sz w:val="21"/>
          <w:szCs w:val="21"/>
          <w:highlight w:val="none"/>
        </w:rPr>
        <w:t>仍将继续提供这些产品的维保服务，以保证甲方设备的正常运转。</w:t>
      </w:r>
    </w:p>
    <w:p>
      <w:pPr>
        <w:pStyle w:val="52"/>
        <w:rPr>
          <w:rFonts w:hint="eastAsia"/>
        </w:rPr>
      </w:pPr>
    </w:p>
    <w:p>
      <w:pPr>
        <w:rPr>
          <w:rFonts w:hint="eastAsia"/>
        </w:rPr>
      </w:pPr>
    </w:p>
    <w:p>
      <w:pPr>
        <w:pStyle w:val="52"/>
        <w:rPr>
          <w:rFonts w:hint="eastAsia"/>
        </w:rPr>
      </w:pPr>
    </w:p>
    <w:p/>
    <w:p>
      <w:pPr>
        <w:widowControl/>
        <w:spacing w:line="360" w:lineRule="exact"/>
        <w:rPr>
          <w:rFonts w:ascii="方正仿宋_GBK" w:hAnsi="方正仿宋_GBK" w:eastAsia="方正仿宋_GBK" w:cs="方正仿宋_GBK"/>
          <w:b/>
          <w:szCs w:val="21"/>
        </w:rPr>
      </w:pPr>
    </w:p>
    <w:p>
      <w:pPr>
        <w:widowControl/>
        <w:spacing w:line="360" w:lineRule="exact"/>
        <w:rPr>
          <w:rFonts w:ascii="方正仿宋_GBK" w:hAnsi="方正仿宋_GBK" w:eastAsia="方正仿宋_GBK" w:cs="方正仿宋_GBK"/>
          <w:b/>
          <w:szCs w:val="21"/>
        </w:rPr>
      </w:pPr>
    </w:p>
    <w:p>
      <w:pPr>
        <w:widowControl/>
        <w:spacing w:line="360" w:lineRule="exact"/>
        <w:rPr>
          <w:rFonts w:ascii="方正仿宋_GBK" w:hAnsi="方正仿宋_GBK" w:eastAsia="方正仿宋_GBK" w:cs="方正仿宋_GBK"/>
          <w:b/>
          <w:szCs w:val="21"/>
        </w:rPr>
      </w:pPr>
    </w:p>
    <w:p>
      <w:pPr>
        <w:autoSpaceDE w:val="0"/>
        <w:autoSpaceDN w:val="0"/>
        <w:adjustRightInd w:val="0"/>
        <w:snapToGrid w:val="0"/>
        <w:spacing w:line="360" w:lineRule="exact"/>
        <w:jc w:val="left"/>
        <w:rPr>
          <w:rFonts w:ascii="方正仿宋_GBK" w:hAnsi="方正仿宋_GBK" w:eastAsia="方正仿宋_GBK" w:cs="方正仿宋_GBK"/>
          <w:b/>
          <w:kern w:val="0"/>
          <w:szCs w:val="21"/>
        </w:rPr>
      </w:pPr>
    </w:p>
    <w:p>
      <w:pPr>
        <w:autoSpaceDE w:val="0"/>
        <w:autoSpaceDN w:val="0"/>
        <w:adjustRightInd w:val="0"/>
        <w:snapToGrid w:val="0"/>
        <w:spacing w:line="360" w:lineRule="exact"/>
        <w:jc w:val="left"/>
        <w:rPr>
          <w:rFonts w:ascii="方正仿宋_GBK" w:hAnsi="方正仿宋_GBK" w:eastAsia="方正仿宋_GBK" w:cs="方正仿宋_GBK"/>
          <w:b/>
          <w:kern w:val="0"/>
          <w:szCs w:val="21"/>
        </w:rPr>
      </w:pPr>
    </w:p>
    <w:p>
      <w:pPr>
        <w:autoSpaceDE w:val="0"/>
        <w:autoSpaceDN w:val="0"/>
        <w:adjustRightInd w:val="0"/>
        <w:snapToGrid w:val="0"/>
        <w:spacing w:line="360" w:lineRule="exact"/>
        <w:jc w:val="left"/>
        <w:rPr>
          <w:rFonts w:ascii="方正仿宋_GBK" w:hAnsi="方正仿宋_GBK" w:eastAsia="方正仿宋_GBK" w:cs="方正仿宋_GBK"/>
          <w:b/>
          <w:kern w:val="0"/>
          <w:szCs w:val="21"/>
        </w:rPr>
      </w:pPr>
    </w:p>
    <w:p>
      <w:pPr>
        <w:autoSpaceDE w:val="0"/>
        <w:autoSpaceDN w:val="0"/>
        <w:adjustRightInd w:val="0"/>
        <w:snapToGrid w:val="0"/>
        <w:spacing w:line="360" w:lineRule="exact"/>
        <w:jc w:val="left"/>
        <w:rPr>
          <w:rFonts w:ascii="方正仿宋_GBK" w:hAnsi="方正仿宋_GBK" w:eastAsia="方正仿宋_GBK" w:cs="方正仿宋_GBK"/>
          <w:b/>
          <w:kern w:val="0"/>
          <w:szCs w:val="21"/>
        </w:rPr>
      </w:pPr>
    </w:p>
    <w:p>
      <w:pPr>
        <w:widowControl/>
        <w:spacing w:line="360" w:lineRule="exact"/>
        <w:jc w:val="left"/>
        <w:rPr>
          <w:rFonts w:ascii="方正仿宋_GBK" w:hAnsi="方正仿宋_GBK" w:eastAsia="方正仿宋_GBK" w:cs="方正仿宋_GBK"/>
        </w:rPr>
      </w:pPr>
    </w:p>
    <w:sectPr>
      <w:pgSz w:w="11906" w:h="16838"/>
      <w:pgMar w:top="1304" w:right="1133" w:bottom="1304" w:left="1134" w:header="720" w:footer="72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1</w:t>
    </w:r>
  </w:p>
  <w:p>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235A9"/>
    <w:multiLevelType w:val="singleLevel"/>
    <w:tmpl w:val="962235A9"/>
    <w:lvl w:ilvl="0" w:tentative="0">
      <w:start w:val="1"/>
      <w:numFmt w:val="decimal"/>
      <w:pStyle w:val="54"/>
      <w:lvlText w:val="%1."/>
      <w:lvlJc w:val="left"/>
      <w:pPr>
        <w:ind w:left="425" w:hanging="425"/>
      </w:pPr>
      <w:rPr>
        <w:rFonts w:hint="default"/>
      </w:rPr>
    </w:lvl>
  </w:abstractNum>
  <w:abstractNum w:abstractNumId="1">
    <w:nsid w:val="1E707371"/>
    <w:multiLevelType w:val="multilevel"/>
    <w:tmpl w:val="1E707371"/>
    <w:lvl w:ilvl="0" w:tentative="0">
      <w:start w:val="1"/>
      <w:numFmt w:val="decimal"/>
      <w:lvlText w:val="%1、"/>
      <w:lvlJc w:val="left"/>
      <w:pPr>
        <w:ind w:left="844" w:hanging="4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46D9A716"/>
    <w:multiLevelType w:val="singleLevel"/>
    <w:tmpl w:val="46D9A716"/>
    <w:lvl w:ilvl="0" w:tentative="0">
      <w:start w:val="1"/>
      <w:numFmt w:val="decimal"/>
      <w:lvlText w:val="%1."/>
      <w:lvlJc w:val="left"/>
      <w:pPr>
        <w:tabs>
          <w:tab w:val="left" w:pos="312"/>
        </w:tabs>
      </w:pPr>
    </w:lvl>
  </w:abstractNum>
  <w:abstractNum w:abstractNumId="3">
    <w:nsid w:val="6285C622"/>
    <w:multiLevelType w:val="singleLevel"/>
    <w:tmpl w:val="6285C622"/>
    <w:lvl w:ilvl="0" w:tentative="0">
      <w:start w:val="1"/>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NjNhMzNmMmRjZTE1ZGIxMDkxMGI3MGQxYzZjODMifQ=="/>
  </w:docVars>
  <w:rsids>
    <w:rsidRoot w:val="00172A27"/>
    <w:rsid w:val="00000A20"/>
    <w:rsid w:val="000014AF"/>
    <w:rsid w:val="000047E9"/>
    <w:rsid w:val="00004F01"/>
    <w:rsid w:val="0000538E"/>
    <w:rsid w:val="00005660"/>
    <w:rsid w:val="000059B6"/>
    <w:rsid w:val="000074A6"/>
    <w:rsid w:val="000101B1"/>
    <w:rsid w:val="00010685"/>
    <w:rsid w:val="000110EB"/>
    <w:rsid w:val="00011561"/>
    <w:rsid w:val="0001160F"/>
    <w:rsid w:val="0001295D"/>
    <w:rsid w:val="00013399"/>
    <w:rsid w:val="0001361A"/>
    <w:rsid w:val="00014617"/>
    <w:rsid w:val="00014E21"/>
    <w:rsid w:val="00014FBE"/>
    <w:rsid w:val="000151EC"/>
    <w:rsid w:val="00015ADE"/>
    <w:rsid w:val="00015C92"/>
    <w:rsid w:val="0002071F"/>
    <w:rsid w:val="00020DB0"/>
    <w:rsid w:val="00021EE3"/>
    <w:rsid w:val="00022545"/>
    <w:rsid w:val="00022D34"/>
    <w:rsid w:val="000234CD"/>
    <w:rsid w:val="00023C95"/>
    <w:rsid w:val="00024D1D"/>
    <w:rsid w:val="000264F1"/>
    <w:rsid w:val="00027081"/>
    <w:rsid w:val="00027E0F"/>
    <w:rsid w:val="00027F11"/>
    <w:rsid w:val="000301E6"/>
    <w:rsid w:val="000304CE"/>
    <w:rsid w:val="00030FBD"/>
    <w:rsid w:val="000311F8"/>
    <w:rsid w:val="00031769"/>
    <w:rsid w:val="000318DD"/>
    <w:rsid w:val="00031B55"/>
    <w:rsid w:val="000333A5"/>
    <w:rsid w:val="00033544"/>
    <w:rsid w:val="00033844"/>
    <w:rsid w:val="000366D5"/>
    <w:rsid w:val="00036FDC"/>
    <w:rsid w:val="0003780E"/>
    <w:rsid w:val="00037AB3"/>
    <w:rsid w:val="000405A3"/>
    <w:rsid w:val="00040A09"/>
    <w:rsid w:val="0004187C"/>
    <w:rsid w:val="00041BCB"/>
    <w:rsid w:val="000421E8"/>
    <w:rsid w:val="000426C5"/>
    <w:rsid w:val="000428B7"/>
    <w:rsid w:val="00042946"/>
    <w:rsid w:val="00042E98"/>
    <w:rsid w:val="000449BD"/>
    <w:rsid w:val="00046CFA"/>
    <w:rsid w:val="000477E0"/>
    <w:rsid w:val="00050381"/>
    <w:rsid w:val="00050B60"/>
    <w:rsid w:val="00050B88"/>
    <w:rsid w:val="00050C71"/>
    <w:rsid w:val="00051881"/>
    <w:rsid w:val="00051D5A"/>
    <w:rsid w:val="00051E19"/>
    <w:rsid w:val="00051F17"/>
    <w:rsid w:val="00053E60"/>
    <w:rsid w:val="00054169"/>
    <w:rsid w:val="000549A2"/>
    <w:rsid w:val="00054B65"/>
    <w:rsid w:val="00054F7E"/>
    <w:rsid w:val="00055AE2"/>
    <w:rsid w:val="00057720"/>
    <w:rsid w:val="00057A91"/>
    <w:rsid w:val="00057D60"/>
    <w:rsid w:val="00060F2A"/>
    <w:rsid w:val="000619C7"/>
    <w:rsid w:val="00061DFC"/>
    <w:rsid w:val="000621CF"/>
    <w:rsid w:val="00062450"/>
    <w:rsid w:val="0006299E"/>
    <w:rsid w:val="00063AAE"/>
    <w:rsid w:val="00063CF8"/>
    <w:rsid w:val="00064380"/>
    <w:rsid w:val="0006607E"/>
    <w:rsid w:val="000666E5"/>
    <w:rsid w:val="00066F7B"/>
    <w:rsid w:val="000674CF"/>
    <w:rsid w:val="000702E6"/>
    <w:rsid w:val="0007037C"/>
    <w:rsid w:val="00070C70"/>
    <w:rsid w:val="00071364"/>
    <w:rsid w:val="00071ADB"/>
    <w:rsid w:val="00071C4E"/>
    <w:rsid w:val="00072400"/>
    <w:rsid w:val="00072C60"/>
    <w:rsid w:val="00072DBA"/>
    <w:rsid w:val="00072DBD"/>
    <w:rsid w:val="00072F95"/>
    <w:rsid w:val="00073E70"/>
    <w:rsid w:val="00074B34"/>
    <w:rsid w:val="000760E0"/>
    <w:rsid w:val="000761AF"/>
    <w:rsid w:val="00076850"/>
    <w:rsid w:val="00076A45"/>
    <w:rsid w:val="00076F76"/>
    <w:rsid w:val="00077A1D"/>
    <w:rsid w:val="00081F77"/>
    <w:rsid w:val="00083AEE"/>
    <w:rsid w:val="00083DAA"/>
    <w:rsid w:val="00084500"/>
    <w:rsid w:val="00084DB5"/>
    <w:rsid w:val="00084DDD"/>
    <w:rsid w:val="000851E5"/>
    <w:rsid w:val="00085595"/>
    <w:rsid w:val="00085691"/>
    <w:rsid w:val="000869F7"/>
    <w:rsid w:val="00086EA8"/>
    <w:rsid w:val="00086F41"/>
    <w:rsid w:val="00087CB5"/>
    <w:rsid w:val="00087E10"/>
    <w:rsid w:val="00090E4A"/>
    <w:rsid w:val="000917F6"/>
    <w:rsid w:val="00091888"/>
    <w:rsid w:val="00091BCC"/>
    <w:rsid w:val="00091C74"/>
    <w:rsid w:val="00091CC8"/>
    <w:rsid w:val="0009201F"/>
    <w:rsid w:val="00092473"/>
    <w:rsid w:val="00092BA8"/>
    <w:rsid w:val="000931C1"/>
    <w:rsid w:val="0009452D"/>
    <w:rsid w:val="000945DF"/>
    <w:rsid w:val="00094783"/>
    <w:rsid w:val="00094840"/>
    <w:rsid w:val="00094931"/>
    <w:rsid w:val="00095B0F"/>
    <w:rsid w:val="00095CD2"/>
    <w:rsid w:val="00096617"/>
    <w:rsid w:val="00096716"/>
    <w:rsid w:val="00097EAB"/>
    <w:rsid w:val="000A0C14"/>
    <w:rsid w:val="000A1B0C"/>
    <w:rsid w:val="000A1E48"/>
    <w:rsid w:val="000A21D0"/>
    <w:rsid w:val="000A2560"/>
    <w:rsid w:val="000A2D1F"/>
    <w:rsid w:val="000A2E04"/>
    <w:rsid w:val="000A2E95"/>
    <w:rsid w:val="000A343B"/>
    <w:rsid w:val="000A4667"/>
    <w:rsid w:val="000A580C"/>
    <w:rsid w:val="000A6065"/>
    <w:rsid w:val="000A6B01"/>
    <w:rsid w:val="000A76CA"/>
    <w:rsid w:val="000B04F2"/>
    <w:rsid w:val="000B0BDE"/>
    <w:rsid w:val="000B109B"/>
    <w:rsid w:val="000B2371"/>
    <w:rsid w:val="000B35B4"/>
    <w:rsid w:val="000B36CC"/>
    <w:rsid w:val="000B375B"/>
    <w:rsid w:val="000B38E3"/>
    <w:rsid w:val="000B3FE3"/>
    <w:rsid w:val="000B52D8"/>
    <w:rsid w:val="000B5868"/>
    <w:rsid w:val="000B6A77"/>
    <w:rsid w:val="000B6B50"/>
    <w:rsid w:val="000B7346"/>
    <w:rsid w:val="000C0C57"/>
    <w:rsid w:val="000C1809"/>
    <w:rsid w:val="000C295E"/>
    <w:rsid w:val="000C2B9B"/>
    <w:rsid w:val="000C2C35"/>
    <w:rsid w:val="000C39AE"/>
    <w:rsid w:val="000C3A88"/>
    <w:rsid w:val="000C4BD9"/>
    <w:rsid w:val="000C5A96"/>
    <w:rsid w:val="000C5D13"/>
    <w:rsid w:val="000D021F"/>
    <w:rsid w:val="000D123E"/>
    <w:rsid w:val="000D29DC"/>
    <w:rsid w:val="000D3822"/>
    <w:rsid w:val="000D42EE"/>
    <w:rsid w:val="000D4669"/>
    <w:rsid w:val="000D4679"/>
    <w:rsid w:val="000D502E"/>
    <w:rsid w:val="000D5351"/>
    <w:rsid w:val="000D552F"/>
    <w:rsid w:val="000D6803"/>
    <w:rsid w:val="000D6FF7"/>
    <w:rsid w:val="000D7405"/>
    <w:rsid w:val="000D76B7"/>
    <w:rsid w:val="000D7FCA"/>
    <w:rsid w:val="000E01AE"/>
    <w:rsid w:val="000E04DD"/>
    <w:rsid w:val="000E0E85"/>
    <w:rsid w:val="000E174D"/>
    <w:rsid w:val="000E2121"/>
    <w:rsid w:val="000E5A05"/>
    <w:rsid w:val="000E5FCD"/>
    <w:rsid w:val="000E6E19"/>
    <w:rsid w:val="000E7693"/>
    <w:rsid w:val="000E7988"/>
    <w:rsid w:val="000E7D8D"/>
    <w:rsid w:val="000E7EC9"/>
    <w:rsid w:val="000F12D2"/>
    <w:rsid w:val="000F1594"/>
    <w:rsid w:val="000F1931"/>
    <w:rsid w:val="000F1D17"/>
    <w:rsid w:val="000F399E"/>
    <w:rsid w:val="000F4854"/>
    <w:rsid w:val="000F4CBC"/>
    <w:rsid w:val="000F4F4D"/>
    <w:rsid w:val="000F4FE8"/>
    <w:rsid w:val="000F6AE7"/>
    <w:rsid w:val="000F7D06"/>
    <w:rsid w:val="00100B62"/>
    <w:rsid w:val="001018EB"/>
    <w:rsid w:val="00101C74"/>
    <w:rsid w:val="001021CC"/>
    <w:rsid w:val="00103A5B"/>
    <w:rsid w:val="00103A61"/>
    <w:rsid w:val="00103BCC"/>
    <w:rsid w:val="00103E40"/>
    <w:rsid w:val="00104453"/>
    <w:rsid w:val="0010457D"/>
    <w:rsid w:val="00105CE9"/>
    <w:rsid w:val="00106F41"/>
    <w:rsid w:val="00106FE4"/>
    <w:rsid w:val="0010799C"/>
    <w:rsid w:val="00112B85"/>
    <w:rsid w:val="00113231"/>
    <w:rsid w:val="001135EB"/>
    <w:rsid w:val="001144A3"/>
    <w:rsid w:val="00114898"/>
    <w:rsid w:val="00114F3B"/>
    <w:rsid w:val="00115490"/>
    <w:rsid w:val="001160C0"/>
    <w:rsid w:val="001173E1"/>
    <w:rsid w:val="00117E90"/>
    <w:rsid w:val="001210F4"/>
    <w:rsid w:val="00123453"/>
    <w:rsid w:val="00123B92"/>
    <w:rsid w:val="001243ED"/>
    <w:rsid w:val="00124F98"/>
    <w:rsid w:val="001257B9"/>
    <w:rsid w:val="0012599B"/>
    <w:rsid w:val="00125C95"/>
    <w:rsid w:val="001304B2"/>
    <w:rsid w:val="00130B25"/>
    <w:rsid w:val="00130E52"/>
    <w:rsid w:val="001317D1"/>
    <w:rsid w:val="001321D8"/>
    <w:rsid w:val="0013262A"/>
    <w:rsid w:val="0013473C"/>
    <w:rsid w:val="00134FC0"/>
    <w:rsid w:val="0013530F"/>
    <w:rsid w:val="0013531D"/>
    <w:rsid w:val="00136854"/>
    <w:rsid w:val="00136D70"/>
    <w:rsid w:val="00137101"/>
    <w:rsid w:val="00140207"/>
    <w:rsid w:val="00141250"/>
    <w:rsid w:val="00141306"/>
    <w:rsid w:val="0014206C"/>
    <w:rsid w:val="0014543C"/>
    <w:rsid w:val="00145AAA"/>
    <w:rsid w:val="00146D30"/>
    <w:rsid w:val="00146F64"/>
    <w:rsid w:val="001473AC"/>
    <w:rsid w:val="00147D30"/>
    <w:rsid w:val="001505A3"/>
    <w:rsid w:val="00150E56"/>
    <w:rsid w:val="00151930"/>
    <w:rsid w:val="0015285B"/>
    <w:rsid w:val="00152DE6"/>
    <w:rsid w:val="00152EA4"/>
    <w:rsid w:val="00155604"/>
    <w:rsid w:val="0015598A"/>
    <w:rsid w:val="00155E90"/>
    <w:rsid w:val="00157DFB"/>
    <w:rsid w:val="00160BB2"/>
    <w:rsid w:val="001631E8"/>
    <w:rsid w:val="001634AC"/>
    <w:rsid w:val="001634B0"/>
    <w:rsid w:val="0016463C"/>
    <w:rsid w:val="00164797"/>
    <w:rsid w:val="00164F53"/>
    <w:rsid w:val="00165915"/>
    <w:rsid w:val="00166F00"/>
    <w:rsid w:val="00167613"/>
    <w:rsid w:val="00170146"/>
    <w:rsid w:val="00170631"/>
    <w:rsid w:val="001707D2"/>
    <w:rsid w:val="00170A53"/>
    <w:rsid w:val="001715C4"/>
    <w:rsid w:val="0017160E"/>
    <w:rsid w:val="00171D0E"/>
    <w:rsid w:val="00171EE0"/>
    <w:rsid w:val="001728DE"/>
    <w:rsid w:val="00172A27"/>
    <w:rsid w:val="001731E5"/>
    <w:rsid w:val="00173422"/>
    <w:rsid w:val="001734F6"/>
    <w:rsid w:val="00174041"/>
    <w:rsid w:val="00174345"/>
    <w:rsid w:val="00174605"/>
    <w:rsid w:val="00174CCC"/>
    <w:rsid w:val="001751F1"/>
    <w:rsid w:val="0017579F"/>
    <w:rsid w:val="00175F3A"/>
    <w:rsid w:val="001765DB"/>
    <w:rsid w:val="0017678C"/>
    <w:rsid w:val="001773DA"/>
    <w:rsid w:val="00180652"/>
    <w:rsid w:val="00181C13"/>
    <w:rsid w:val="00182090"/>
    <w:rsid w:val="001834FF"/>
    <w:rsid w:val="001843A4"/>
    <w:rsid w:val="00185EF7"/>
    <w:rsid w:val="0018616A"/>
    <w:rsid w:val="0018618B"/>
    <w:rsid w:val="001868C4"/>
    <w:rsid w:val="00187301"/>
    <w:rsid w:val="001901D7"/>
    <w:rsid w:val="00192041"/>
    <w:rsid w:val="00192A83"/>
    <w:rsid w:val="00193E75"/>
    <w:rsid w:val="001947A3"/>
    <w:rsid w:val="00194A5B"/>
    <w:rsid w:val="0019635D"/>
    <w:rsid w:val="00196CAD"/>
    <w:rsid w:val="0019711D"/>
    <w:rsid w:val="0019721E"/>
    <w:rsid w:val="00197AA0"/>
    <w:rsid w:val="001A1707"/>
    <w:rsid w:val="001A1BEE"/>
    <w:rsid w:val="001A2F71"/>
    <w:rsid w:val="001A39AB"/>
    <w:rsid w:val="001A48B4"/>
    <w:rsid w:val="001A5A52"/>
    <w:rsid w:val="001A65F3"/>
    <w:rsid w:val="001A6C2F"/>
    <w:rsid w:val="001A70F2"/>
    <w:rsid w:val="001A7166"/>
    <w:rsid w:val="001A77B5"/>
    <w:rsid w:val="001A7A6C"/>
    <w:rsid w:val="001B0CAA"/>
    <w:rsid w:val="001B1BD4"/>
    <w:rsid w:val="001B2304"/>
    <w:rsid w:val="001B257E"/>
    <w:rsid w:val="001B2C53"/>
    <w:rsid w:val="001B3755"/>
    <w:rsid w:val="001B3E1A"/>
    <w:rsid w:val="001B4687"/>
    <w:rsid w:val="001B544A"/>
    <w:rsid w:val="001B561F"/>
    <w:rsid w:val="001B62B0"/>
    <w:rsid w:val="001B6B79"/>
    <w:rsid w:val="001B6C19"/>
    <w:rsid w:val="001B7C82"/>
    <w:rsid w:val="001B7CCB"/>
    <w:rsid w:val="001B7E26"/>
    <w:rsid w:val="001C01B0"/>
    <w:rsid w:val="001C0600"/>
    <w:rsid w:val="001C0987"/>
    <w:rsid w:val="001C0A0A"/>
    <w:rsid w:val="001C261D"/>
    <w:rsid w:val="001C2AEB"/>
    <w:rsid w:val="001C2B77"/>
    <w:rsid w:val="001C4B19"/>
    <w:rsid w:val="001C514E"/>
    <w:rsid w:val="001C52D4"/>
    <w:rsid w:val="001C5FD9"/>
    <w:rsid w:val="001C6573"/>
    <w:rsid w:val="001C6882"/>
    <w:rsid w:val="001C6A50"/>
    <w:rsid w:val="001C6C6C"/>
    <w:rsid w:val="001C7BE2"/>
    <w:rsid w:val="001D0BAC"/>
    <w:rsid w:val="001D1F2F"/>
    <w:rsid w:val="001D254F"/>
    <w:rsid w:val="001D2630"/>
    <w:rsid w:val="001D28C6"/>
    <w:rsid w:val="001D52FC"/>
    <w:rsid w:val="001D62EA"/>
    <w:rsid w:val="001D692F"/>
    <w:rsid w:val="001D6B69"/>
    <w:rsid w:val="001D72B8"/>
    <w:rsid w:val="001D7E44"/>
    <w:rsid w:val="001E0A9D"/>
    <w:rsid w:val="001E1ABE"/>
    <w:rsid w:val="001E1DAF"/>
    <w:rsid w:val="001E29F6"/>
    <w:rsid w:val="001E5072"/>
    <w:rsid w:val="001E56A3"/>
    <w:rsid w:val="001E6356"/>
    <w:rsid w:val="001E68B9"/>
    <w:rsid w:val="001E736F"/>
    <w:rsid w:val="001E73A9"/>
    <w:rsid w:val="001E7A9F"/>
    <w:rsid w:val="001E7F3A"/>
    <w:rsid w:val="001E7FD6"/>
    <w:rsid w:val="001F152C"/>
    <w:rsid w:val="001F15F0"/>
    <w:rsid w:val="001F1BC6"/>
    <w:rsid w:val="001F202B"/>
    <w:rsid w:val="001F3E01"/>
    <w:rsid w:val="001F41BD"/>
    <w:rsid w:val="001F484D"/>
    <w:rsid w:val="001F4FE7"/>
    <w:rsid w:val="001F5165"/>
    <w:rsid w:val="001F518C"/>
    <w:rsid w:val="001F542F"/>
    <w:rsid w:val="001F61AA"/>
    <w:rsid w:val="001F7A0A"/>
    <w:rsid w:val="00200482"/>
    <w:rsid w:val="00200A7E"/>
    <w:rsid w:val="00201FED"/>
    <w:rsid w:val="00202A37"/>
    <w:rsid w:val="002032A0"/>
    <w:rsid w:val="002041EA"/>
    <w:rsid w:val="00205398"/>
    <w:rsid w:val="00205739"/>
    <w:rsid w:val="00205D65"/>
    <w:rsid w:val="002060B1"/>
    <w:rsid w:val="0020747E"/>
    <w:rsid w:val="0020748C"/>
    <w:rsid w:val="00207C54"/>
    <w:rsid w:val="00210DBC"/>
    <w:rsid w:val="00210DD0"/>
    <w:rsid w:val="00210EDE"/>
    <w:rsid w:val="00211353"/>
    <w:rsid w:val="00212A54"/>
    <w:rsid w:val="00213B0B"/>
    <w:rsid w:val="00215192"/>
    <w:rsid w:val="00215B7E"/>
    <w:rsid w:val="00216D64"/>
    <w:rsid w:val="00216E6A"/>
    <w:rsid w:val="002173AF"/>
    <w:rsid w:val="00217548"/>
    <w:rsid w:val="002204CB"/>
    <w:rsid w:val="00220D0C"/>
    <w:rsid w:val="0022279E"/>
    <w:rsid w:val="00222FB1"/>
    <w:rsid w:val="002231B8"/>
    <w:rsid w:val="0022374A"/>
    <w:rsid w:val="002237FD"/>
    <w:rsid w:val="00223BE2"/>
    <w:rsid w:val="00223C1C"/>
    <w:rsid w:val="00224E04"/>
    <w:rsid w:val="00225662"/>
    <w:rsid w:val="00225FD2"/>
    <w:rsid w:val="00226A17"/>
    <w:rsid w:val="00226E0E"/>
    <w:rsid w:val="002279E5"/>
    <w:rsid w:val="00227B56"/>
    <w:rsid w:val="002309E7"/>
    <w:rsid w:val="00230D66"/>
    <w:rsid w:val="0023108C"/>
    <w:rsid w:val="002327AB"/>
    <w:rsid w:val="00232951"/>
    <w:rsid w:val="0023345E"/>
    <w:rsid w:val="00233DC3"/>
    <w:rsid w:val="00234A73"/>
    <w:rsid w:val="00236FCF"/>
    <w:rsid w:val="00237845"/>
    <w:rsid w:val="002401B7"/>
    <w:rsid w:val="002404E8"/>
    <w:rsid w:val="002408B9"/>
    <w:rsid w:val="00240DDC"/>
    <w:rsid w:val="00241017"/>
    <w:rsid w:val="002423A1"/>
    <w:rsid w:val="00243477"/>
    <w:rsid w:val="00243CC1"/>
    <w:rsid w:val="0024415B"/>
    <w:rsid w:val="0024416C"/>
    <w:rsid w:val="00244C02"/>
    <w:rsid w:val="002460C4"/>
    <w:rsid w:val="0024649C"/>
    <w:rsid w:val="002464E8"/>
    <w:rsid w:val="002464ED"/>
    <w:rsid w:val="0024668F"/>
    <w:rsid w:val="0024751C"/>
    <w:rsid w:val="002478E1"/>
    <w:rsid w:val="00247BE2"/>
    <w:rsid w:val="00247EFA"/>
    <w:rsid w:val="00250EE2"/>
    <w:rsid w:val="00251270"/>
    <w:rsid w:val="002513D1"/>
    <w:rsid w:val="002530B4"/>
    <w:rsid w:val="00253400"/>
    <w:rsid w:val="00254076"/>
    <w:rsid w:val="00254DDF"/>
    <w:rsid w:val="00255170"/>
    <w:rsid w:val="00255190"/>
    <w:rsid w:val="002553F1"/>
    <w:rsid w:val="00255C1C"/>
    <w:rsid w:val="0025607A"/>
    <w:rsid w:val="0025741D"/>
    <w:rsid w:val="0025747F"/>
    <w:rsid w:val="002577C7"/>
    <w:rsid w:val="002606C5"/>
    <w:rsid w:val="002611CD"/>
    <w:rsid w:val="0026152E"/>
    <w:rsid w:val="0026199E"/>
    <w:rsid w:val="00261AB4"/>
    <w:rsid w:val="00261F33"/>
    <w:rsid w:val="00263B09"/>
    <w:rsid w:val="00263CD8"/>
    <w:rsid w:val="0026517B"/>
    <w:rsid w:val="002655F5"/>
    <w:rsid w:val="00267221"/>
    <w:rsid w:val="00267B47"/>
    <w:rsid w:val="00270CC6"/>
    <w:rsid w:val="002713AD"/>
    <w:rsid w:val="00271C5A"/>
    <w:rsid w:val="00273A27"/>
    <w:rsid w:val="0027423F"/>
    <w:rsid w:val="0027439E"/>
    <w:rsid w:val="00276DAA"/>
    <w:rsid w:val="00277B53"/>
    <w:rsid w:val="00277DC5"/>
    <w:rsid w:val="0028054E"/>
    <w:rsid w:val="00280BE8"/>
    <w:rsid w:val="0028178A"/>
    <w:rsid w:val="00282E6C"/>
    <w:rsid w:val="002830C3"/>
    <w:rsid w:val="00283670"/>
    <w:rsid w:val="00283EB8"/>
    <w:rsid w:val="00283F54"/>
    <w:rsid w:val="00284646"/>
    <w:rsid w:val="00285426"/>
    <w:rsid w:val="00287104"/>
    <w:rsid w:val="00287A8B"/>
    <w:rsid w:val="00291359"/>
    <w:rsid w:val="002919D5"/>
    <w:rsid w:val="00291AC1"/>
    <w:rsid w:val="00291CF6"/>
    <w:rsid w:val="00293A02"/>
    <w:rsid w:val="00293E78"/>
    <w:rsid w:val="002940E2"/>
    <w:rsid w:val="00296A8E"/>
    <w:rsid w:val="002971F2"/>
    <w:rsid w:val="002975C8"/>
    <w:rsid w:val="00297E19"/>
    <w:rsid w:val="002A0F51"/>
    <w:rsid w:val="002A1310"/>
    <w:rsid w:val="002A16D1"/>
    <w:rsid w:val="002A2BEB"/>
    <w:rsid w:val="002A32FB"/>
    <w:rsid w:val="002A4383"/>
    <w:rsid w:val="002A46E6"/>
    <w:rsid w:val="002A6553"/>
    <w:rsid w:val="002A6B23"/>
    <w:rsid w:val="002A6D43"/>
    <w:rsid w:val="002A6F02"/>
    <w:rsid w:val="002A6FCA"/>
    <w:rsid w:val="002A759C"/>
    <w:rsid w:val="002A7AF3"/>
    <w:rsid w:val="002B0FA3"/>
    <w:rsid w:val="002B1036"/>
    <w:rsid w:val="002B108D"/>
    <w:rsid w:val="002B12E2"/>
    <w:rsid w:val="002B1F2A"/>
    <w:rsid w:val="002B2358"/>
    <w:rsid w:val="002B2D4B"/>
    <w:rsid w:val="002B2FA8"/>
    <w:rsid w:val="002B3506"/>
    <w:rsid w:val="002B3D80"/>
    <w:rsid w:val="002B406A"/>
    <w:rsid w:val="002B52FA"/>
    <w:rsid w:val="002B533A"/>
    <w:rsid w:val="002B58E9"/>
    <w:rsid w:val="002B598B"/>
    <w:rsid w:val="002B700A"/>
    <w:rsid w:val="002B747A"/>
    <w:rsid w:val="002B7781"/>
    <w:rsid w:val="002C07F6"/>
    <w:rsid w:val="002C0C83"/>
    <w:rsid w:val="002C1273"/>
    <w:rsid w:val="002C12BB"/>
    <w:rsid w:val="002C172E"/>
    <w:rsid w:val="002C20F5"/>
    <w:rsid w:val="002C219D"/>
    <w:rsid w:val="002C22DB"/>
    <w:rsid w:val="002C2690"/>
    <w:rsid w:val="002C39D3"/>
    <w:rsid w:val="002C3D73"/>
    <w:rsid w:val="002C4EC9"/>
    <w:rsid w:val="002C5E89"/>
    <w:rsid w:val="002C64EB"/>
    <w:rsid w:val="002C712F"/>
    <w:rsid w:val="002D00EB"/>
    <w:rsid w:val="002D014B"/>
    <w:rsid w:val="002D0AE7"/>
    <w:rsid w:val="002D0FC8"/>
    <w:rsid w:val="002D1069"/>
    <w:rsid w:val="002D12B8"/>
    <w:rsid w:val="002D1BF5"/>
    <w:rsid w:val="002D3593"/>
    <w:rsid w:val="002D4381"/>
    <w:rsid w:val="002D622E"/>
    <w:rsid w:val="002D6C40"/>
    <w:rsid w:val="002D7412"/>
    <w:rsid w:val="002D7741"/>
    <w:rsid w:val="002D7A0E"/>
    <w:rsid w:val="002D7C64"/>
    <w:rsid w:val="002E0441"/>
    <w:rsid w:val="002E0FCD"/>
    <w:rsid w:val="002E1F1E"/>
    <w:rsid w:val="002E2F4A"/>
    <w:rsid w:val="002E2FF7"/>
    <w:rsid w:val="002E3352"/>
    <w:rsid w:val="002E367A"/>
    <w:rsid w:val="002E3806"/>
    <w:rsid w:val="002E383F"/>
    <w:rsid w:val="002E38B0"/>
    <w:rsid w:val="002E3983"/>
    <w:rsid w:val="002E3AEC"/>
    <w:rsid w:val="002E5462"/>
    <w:rsid w:val="002E639F"/>
    <w:rsid w:val="002E6FF5"/>
    <w:rsid w:val="002E726A"/>
    <w:rsid w:val="002E74F0"/>
    <w:rsid w:val="002F019F"/>
    <w:rsid w:val="002F04FC"/>
    <w:rsid w:val="002F072D"/>
    <w:rsid w:val="002F0980"/>
    <w:rsid w:val="002F0C02"/>
    <w:rsid w:val="002F217E"/>
    <w:rsid w:val="002F289F"/>
    <w:rsid w:val="002F292D"/>
    <w:rsid w:val="002F2EBD"/>
    <w:rsid w:val="002F3451"/>
    <w:rsid w:val="002F3D87"/>
    <w:rsid w:val="002F4CD7"/>
    <w:rsid w:val="002F55CE"/>
    <w:rsid w:val="002F5BA0"/>
    <w:rsid w:val="002F6196"/>
    <w:rsid w:val="002F6927"/>
    <w:rsid w:val="002F6B8D"/>
    <w:rsid w:val="002F792B"/>
    <w:rsid w:val="002F7CA4"/>
    <w:rsid w:val="0030068A"/>
    <w:rsid w:val="00300B08"/>
    <w:rsid w:val="00300F75"/>
    <w:rsid w:val="00301E61"/>
    <w:rsid w:val="00302A74"/>
    <w:rsid w:val="00303772"/>
    <w:rsid w:val="00304182"/>
    <w:rsid w:val="003044BD"/>
    <w:rsid w:val="00304812"/>
    <w:rsid w:val="00306D50"/>
    <w:rsid w:val="003123A1"/>
    <w:rsid w:val="00312D6C"/>
    <w:rsid w:val="0031310B"/>
    <w:rsid w:val="00313732"/>
    <w:rsid w:val="003146FC"/>
    <w:rsid w:val="00314FE8"/>
    <w:rsid w:val="003152B7"/>
    <w:rsid w:val="00315EF4"/>
    <w:rsid w:val="00316C58"/>
    <w:rsid w:val="00317416"/>
    <w:rsid w:val="0032039D"/>
    <w:rsid w:val="003207A3"/>
    <w:rsid w:val="00320A80"/>
    <w:rsid w:val="00321901"/>
    <w:rsid w:val="00321A14"/>
    <w:rsid w:val="00321C73"/>
    <w:rsid w:val="00323EDA"/>
    <w:rsid w:val="00323F5D"/>
    <w:rsid w:val="003246D4"/>
    <w:rsid w:val="003249E4"/>
    <w:rsid w:val="00325B66"/>
    <w:rsid w:val="0032654E"/>
    <w:rsid w:val="00326A96"/>
    <w:rsid w:val="00326DE8"/>
    <w:rsid w:val="003274B6"/>
    <w:rsid w:val="003320E4"/>
    <w:rsid w:val="00332AC6"/>
    <w:rsid w:val="00332CAD"/>
    <w:rsid w:val="0033375E"/>
    <w:rsid w:val="00333ED4"/>
    <w:rsid w:val="00334F4E"/>
    <w:rsid w:val="0033511F"/>
    <w:rsid w:val="00335556"/>
    <w:rsid w:val="00335803"/>
    <w:rsid w:val="00335C99"/>
    <w:rsid w:val="003361A8"/>
    <w:rsid w:val="003364A9"/>
    <w:rsid w:val="00336AE5"/>
    <w:rsid w:val="00336B09"/>
    <w:rsid w:val="00336DAF"/>
    <w:rsid w:val="003373C5"/>
    <w:rsid w:val="00337DF9"/>
    <w:rsid w:val="00337F46"/>
    <w:rsid w:val="00337F52"/>
    <w:rsid w:val="0034296C"/>
    <w:rsid w:val="0034463B"/>
    <w:rsid w:val="003446E7"/>
    <w:rsid w:val="003447AC"/>
    <w:rsid w:val="00344CCE"/>
    <w:rsid w:val="00344EF7"/>
    <w:rsid w:val="00345FDF"/>
    <w:rsid w:val="0034634E"/>
    <w:rsid w:val="003464EC"/>
    <w:rsid w:val="003466C8"/>
    <w:rsid w:val="003468C9"/>
    <w:rsid w:val="003475FC"/>
    <w:rsid w:val="0035184D"/>
    <w:rsid w:val="00351BC3"/>
    <w:rsid w:val="00352F74"/>
    <w:rsid w:val="00353656"/>
    <w:rsid w:val="003537FF"/>
    <w:rsid w:val="003540AF"/>
    <w:rsid w:val="00354B56"/>
    <w:rsid w:val="00354D44"/>
    <w:rsid w:val="00354E1A"/>
    <w:rsid w:val="003561F4"/>
    <w:rsid w:val="003568F7"/>
    <w:rsid w:val="00356A0C"/>
    <w:rsid w:val="00357BE4"/>
    <w:rsid w:val="003607E0"/>
    <w:rsid w:val="00362278"/>
    <w:rsid w:val="00363205"/>
    <w:rsid w:val="00363742"/>
    <w:rsid w:val="0036404B"/>
    <w:rsid w:val="0036459A"/>
    <w:rsid w:val="003645A4"/>
    <w:rsid w:val="003655B6"/>
    <w:rsid w:val="0036585A"/>
    <w:rsid w:val="0036607C"/>
    <w:rsid w:val="0036613D"/>
    <w:rsid w:val="003664E9"/>
    <w:rsid w:val="0036670A"/>
    <w:rsid w:val="00366AF0"/>
    <w:rsid w:val="00370870"/>
    <w:rsid w:val="00371069"/>
    <w:rsid w:val="003711B7"/>
    <w:rsid w:val="003712B2"/>
    <w:rsid w:val="0037189D"/>
    <w:rsid w:val="00371D2E"/>
    <w:rsid w:val="00372300"/>
    <w:rsid w:val="00372F64"/>
    <w:rsid w:val="0037352D"/>
    <w:rsid w:val="003737ED"/>
    <w:rsid w:val="0037392C"/>
    <w:rsid w:val="00373CC5"/>
    <w:rsid w:val="00374070"/>
    <w:rsid w:val="00374B94"/>
    <w:rsid w:val="00374FCF"/>
    <w:rsid w:val="0037567D"/>
    <w:rsid w:val="003765DA"/>
    <w:rsid w:val="00376AC6"/>
    <w:rsid w:val="0038017D"/>
    <w:rsid w:val="00380AC7"/>
    <w:rsid w:val="00380DD7"/>
    <w:rsid w:val="00381013"/>
    <w:rsid w:val="003811B5"/>
    <w:rsid w:val="00381BAD"/>
    <w:rsid w:val="00382432"/>
    <w:rsid w:val="00384390"/>
    <w:rsid w:val="003853EB"/>
    <w:rsid w:val="00385553"/>
    <w:rsid w:val="00385C1A"/>
    <w:rsid w:val="00385D9E"/>
    <w:rsid w:val="00387108"/>
    <w:rsid w:val="00387171"/>
    <w:rsid w:val="003905F9"/>
    <w:rsid w:val="00390CFE"/>
    <w:rsid w:val="003918C1"/>
    <w:rsid w:val="0039191B"/>
    <w:rsid w:val="00391DCA"/>
    <w:rsid w:val="00391EC0"/>
    <w:rsid w:val="003926CA"/>
    <w:rsid w:val="003927CD"/>
    <w:rsid w:val="00393B4D"/>
    <w:rsid w:val="0039459E"/>
    <w:rsid w:val="00394D32"/>
    <w:rsid w:val="00394E18"/>
    <w:rsid w:val="00397E82"/>
    <w:rsid w:val="003A22A1"/>
    <w:rsid w:val="003A24E2"/>
    <w:rsid w:val="003A26F4"/>
    <w:rsid w:val="003A28F2"/>
    <w:rsid w:val="003A2A9E"/>
    <w:rsid w:val="003A36CF"/>
    <w:rsid w:val="003A3DB6"/>
    <w:rsid w:val="003A3DDF"/>
    <w:rsid w:val="003A424B"/>
    <w:rsid w:val="003A49BF"/>
    <w:rsid w:val="003A4C99"/>
    <w:rsid w:val="003A4E37"/>
    <w:rsid w:val="003A4E75"/>
    <w:rsid w:val="003A5E38"/>
    <w:rsid w:val="003A5EE1"/>
    <w:rsid w:val="003A60BB"/>
    <w:rsid w:val="003A74EA"/>
    <w:rsid w:val="003A7675"/>
    <w:rsid w:val="003B0A34"/>
    <w:rsid w:val="003B0F16"/>
    <w:rsid w:val="003B1C37"/>
    <w:rsid w:val="003B239A"/>
    <w:rsid w:val="003B2D3D"/>
    <w:rsid w:val="003B3158"/>
    <w:rsid w:val="003B3896"/>
    <w:rsid w:val="003B5910"/>
    <w:rsid w:val="003B5B1A"/>
    <w:rsid w:val="003B7346"/>
    <w:rsid w:val="003B7569"/>
    <w:rsid w:val="003B76EE"/>
    <w:rsid w:val="003B7A81"/>
    <w:rsid w:val="003C056C"/>
    <w:rsid w:val="003C0BAD"/>
    <w:rsid w:val="003C0EE4"/>
    <w:rsid w:val="003C229E"/>
    <w:rsid w:val="003C2ECE"/>
    <w:rsid w:val="003C460F"/>
    <w:rsid w:val="003C4AC0"/>
    <w:rsid w:val="003C6D7F"/>
    <w:rsid w:val="003C736B"/>
    <w:rsid w:val="003C7A26"/>
    <w:rsid w:val="003C7B62"/>
    <w:rsid w:val="003D03E8"/>
    <w:rsid w:val="003D11B0"/>
    <w:rsid w:val="003D198D"/>
    <w:rsid w:val="003D3566"/>
    <w:rsid w:val="003D48E6"/>
    <w:rsid w:val="003D4D26"/>
    <w:rsid w:val="003D4ECE"/>
    <w:rsid w:val="003D64F4"/>
    <w:rsid w:val="003D6981"/>
    <w:rsid w:val="003D6D5F"/>
    <w:rsid w:val="003D6F8A"/>
    <w:rsid w:val="003D724B"/>
    <w:rsid w:val="003D7627"/>
    <w:rsid w:val="003D7F6D"/>
    <w:rsid w:val="003E075E"/>
    <w:rsid w:val="003E138E"/>
    <w:rsid w:val="003E15D5"/>
    <w:rsid w:val="003E1FE1"/>
    <w:rsid w:val="003E256F"/>
    <w:rsid w:val="003E2775"/>
    <w:rsid w:val="003E2DE8"/>
    <w:rsid w:val="003E3772"/>
    <w:rsid w:val="003E38D9"/>
    <w:rsid w:val="003E45B2"/>
    <w:rsid w:val="003E4ABB"/>
    <w:rsid w:val="003E4B98"/>
    <w:rsid w:val="003E54E0"/>
    <w:rsid w:val="003E5B66"/>
    <w:rsid w:val="003E5CBD"/>
    <w:rsid w:val="003E61D0"/>
    <w:rsid w:val="003E6AD9"/>
    <w:rsid w:val="003E6D14"/>
    <w:rsid w:val="003E6F91"/>
    <w:rsid w:val="003E7324"/>
    <w:rsid w:val="003E7471"/>
    <w:rsid w:val="003F22C3"/>
    <w:rsid w:val="003F29FC"/>
    <w:rsid w:val="003F2D76"/>
    <w:rsid w:val="003F3894"/>
    <w:rsid w:val="003F4A4D"/>
    <w:rsid w:val="003F531B"/>
    <w:rsid w:val="003F566F"/>
    <w:rsid w:val="003F626C"/>
    <w:rsid w:val="003F62C6"/>
    <w:rsid w:val="004004F3"/>
    <w:rsid w:val="00400BC8"/>
    <w:rsid w:val="004015DB"/>
    <w:rsid w:val="004019BD"/>
    <w:rsid w:val="0040225A"/>
    <w:rsid w:val="004024AF"/>
    <w:rsid w:val="00402DE5"/>
    <w:rsid w:val="0040373D"/>
    <w:rsid w:val="00403A74"/>
    <w:rsid w:val="004051BD"/>
    <w:rsid w:val="00405AA4"/>
    <w:rsid w:val="00406970"/>
    <w:rsid w:val="00406AC2"/>
    <w:rsid w:val="00407460"/>
    <w:rsid w:val="00410100"/>
    <w:rsid w:val="00410C5E"/>
    <w:rsid w:val="00411950"/>
    <w:rsid w:val="00412D29"/>
    <w:rsid w:val="00414663"/>
    <w:rsid w:val="00415382"/>
    <w:rsid w:val="0041582E"/>
    <w:rsid w:val="004159BD"/>
    <w:rsid w:val="00415A50"/>
    <w:rsid w:val="00416A3E"/>
    <w:rsid w:val="004175A7"/>
    <w:rsid w:val="004175D8"/>
    <w:rsid w:val="00417D32"/>
    <w:rsid w:val="00420265"/>
    <w:rsid w:val="004209E9"/>
    <w:rsid w:val="00422BA5"/>
    <w:rsid w:val="00423394"/>
    <w:rsid w:val="00423756"/>
    <w:rsid w:val="0042464E"/>
    <w:rsid w:val="00424794"/>
    <w:rsid w:val="004253D1"/>
    <w:rsid w:val="00427E1E"/>
    <w:rsid w:val="004301B3"/>
    <w:rsid w:val="004305DC"/>
    <w:rsid w:val="0043091C"/>
    <w:rsid w:val="004309D1"/>
    <w:rsid w:val="00430CF9"/>
    <w:rsid w:val="00431B79"/>
    <w:rsid w:val="00433852"/>
    <w:rsid w:val="00433A3A"/>
    <w:rsid w:val="00433C6C"/>
    <w:rsid w:val="0043472A"/>
    <w:rsid w:val="0043492B"/>
    <w:rsid w:val="00435552"/>
    <w:rsid w:val="00435914"/>
    <w:rsid w:val="00435C68"/>
    <w:rsid w:val="00435CDC"/>
    <w:rsid w:val="00435DB3"/>
    <w:rsid w:val="004366BE"/>
    <w:rsid w:val="00436CE6"/>
    <w:rsid w:val="004372F1"/>
    <w:rsid w:val="0043758F"/>
    <w:rsid w:val="004376C2"/>
    <w:rsid w:val="0043783C"/>
    <w:rsid w:val="00437D76"/>
    <w:rsid w:val="00441B65"/>
    <w:rsid w:val="004438EA"/>
    <w:rsid w:val="00444528"/>
    <w:rsid w:val="0044454C"/>
    <w:rsid w:val="0044479A"/>
    <w:rsid w:val="00444B16"/>
    <w:rsid w:val="004454E6"/>
    <w:rsid w:val="00445552"/>
    <w:rsid w:val="00446159"/>
    <w:rsid w:val="004478A1"/>
    <w:rsid w:val="00447EAF"/>
    <w:rsid w:val="00447EF9"/>
    <w:rsid w:val="00450ACD"/>
    <w:rsid w:val="00450BD3"/>
    <w:rsid w:val="00451A19"/>
    <w:rsid w:val="00454496"/>
    <w:rsid w:val="0045458E"/>
    <w:rsid w:val="004546F1"/>
    <w:rsid w:val="00455BB8"/>
    <w:rsid w:val="00456856"/>
    <w:rsid w:val="00456C03"/>
    <w:rsid w:val="004570CC"/>
    <w:rsid w:val="004576F7"/>
    <w:rsid w:val="00461305"/>
    <w:rsid w:val="00461352"/>
    <w:rsid w:val="00461ACE"/>
    <w:rsid w:val="00463735"/>
    <w:rsid w:val="00464731"/>
    <w:rsid w:val="004647FE"/>
    <w:rsid w:val="0046538B"/>
    <w:rsid w:val="0046556F"/>
    <w:rsid w:val="004669BA"/>
    <w:rsid w:val="00466D60"/>
    <w:rsid w:val="00466E4D"/>
    <w:rsid w:val="00467C87"/>
    <w:rsid w:val="0047074F"/>
    <w:rsid w:val="00470D35"/>
    <w:rsid w:val="00471672"/>
    <w:rsid w:val="00471FE3"/>
    <w:rsid w:val="0047215F"/>
    <w:rsid w:val="00473EB0"/>
    <w:rsid w:val="00474517"/>
    <w:rsid w:val="00474690"/>
    <w:rsid w:val="00475D3B"/>
    <w:rsid w:val="00476416"/>
    <w:rsid w:val="00476B65"/>
    <w:rsid w:val="00480553"/>
    <w:rsid w:val="00481805"/>
    <w:rsid w:val="004838BE"/>
    <w:rsid w:val="0048496B"/>
    <w:rsid w:val="00484E59"/>
    <w:rsid w:val="0048554F"/>
    <w:rsid w:val="004855F8"/>
    <w:rsid w:val="00485DF8"/>
    <w:rsid w:val="004864A3"/>
    <w:rsid w:val="00487052"/>
    <w:rsid w:val="004874E1"/>
    <w:rsid w:val="00490299"/>
    <w:rsid w:val="004906A1"/>
    <w:rsid w:val="00490C25"/>
    <w:rsid w:val="00491443"/>
    <w:rsid w:val="00491865"/>
    <w:rsid w:val="00491EFB"/>
    <w:rsid w:val="00491F42"/>
    <w:rsid w:val="00492578"/>
    <w:rsid w:val="004938A1"/>
    <w:rsid w:val="00493A09"/>
    <w:rsid w:val="0049404D"/>
    <w:rsid w:val="004940E8"/>
    <w:rsid w:val="004942F5"/>
    <w:rsid w:val="00494878"/>
    <w:rsid w:val="00494CAC"/>
    <w:rsid w:val="00495465"/>
    <w:rsid w:val="00495EC9"/>
    <w:rsid w:val="00497052"/>
    <w:rsid w:val="00497288"/>
    <w:rsid w:val="004978FD"/>
    <w:rsid w:val="004A0115"/>
    <w:rsid w:val="004A0790"/>
    <w:rsid w:val="004A07CB"/>
    <w:rsid w:val="004A0F36"/>
    <w:rsid w:val="004A1332"/>
    <w:rsid w:val="004A2EA7"/>
    <w:rsid w:val="004A4C7D"/>
    <w:rsid w:val="004A59FA"/>
    <w:rsid w:val="004A6B35"/>
    <w:rsid w:val="004A70F4"/>
    <w:rsid w:val="004B0DF0"/>
    <w:rsid w:val="004B191D"/>
    <w:rsid w:val="004B1BDE"/>
    <w:rsid w:val="004B231A"/>
    <w:rsid w:val="004B28FA"/>
    <w:rsid w:val="004B29FB"/>
    <w:rsid w:val="004B3921"/>
    <w:rsid w:val="004B39F6"/>
    <w:rsid w:val="004B3D19"/>
    <w:rsid w:val="004B5CD5"/>
    <w:rsid w:val="004B6010"/>
    <w:rsid w:val="004B70C0"/>
    <w:rsid w:val="004C0BC2"/>
    <w:rsid w:val="004C0D6F"/>
    <w:rsid w:val="004C1AB6"/>
    <w:rsid w:val="004C1D11"/>
    <w:rsid w:val="004C1D2E"/>
    <w:rsid w:val="004C372C"/>
    <w:rsid w:val="004C4DE0"/>
    <w:rsid w:val="004C5116"/>
    <w:rsid w:val="004C5510"/>
    <w:rsid w:val="004C582B"/>
    <w:rsid w:val="004C61AC"/>
    <w:rsid w:val="004C6261"/>
    <w:rsid w:val="004C683A"/>
    <w:rsid w:val="004C6C1F"/>
    <w:rsid w:val="004C73AA"/>
    <w:rsid w:val="004D0501"/>
    <w:rsid w:val="004D0B6C"/>
    <w:rsid w:val="004D1274"/>
    <w:rsid w:val="004D1811"/>
    <w:rsid w:val="004D3086"/>
    <w:rsid w:val="004D30B3"/>
    <w:rsid w:val="004D3124"/>
    <w:rsid w:val="004D37BC"/>
    <w:rsid w:val="004D37D6"/>
    <w:rsid w:val="004D437B"/>
    <w:rsid w:val="004D4890"/>
    <w:rsid w:val="004D490C"/>
    <w:rsid w:val="004D4CE0"/>
    <w:rsid w:val="004D562F"/>
    <w:rsid w:val="004D5705"/>
    <w:rsid w:val="004D65E3"/>
    <w:rsid w:val="004D6F17"/>
    <w:rsid w:val="004D71C2"/>
    <w:rsid w:val="004D7F3A"/>
    <w:rsid w:val="004E1245"/>
    <w:rsid w:val="004E16FF"/>
    <w:rsid w:val="004E19DC"/>
    <w:rsid w:val="004E22CD"/>
    <w:rsid w:val="004E288C"/>
    <w:rsid w:val="004E29D1"/>
    <w:rsid w:val="004E2AE8"/>
    <w:rsid w:val="004E2D8B"/>
    <w:rsid w:val="004E364E"/>
    <w:rsid w:val="004E3F64"/>
    <w:rsid w:val="004E43B7"/>
    <w:rsid w:val="004E4D45"/>
    <w:rsid w:val="004E58C4"/>
    <w:rsid w:val="004E5AB8"/>
    <w:rsid w:val="004E5D29"/>
    <w:rsid w:val="004E69FA"/>
    <w:rsid w:val="004E76B9"/>
    <w:rsid w:val="004F0A77"/>
    <w:rsid w:val="004F12FF"/>
    <w:rsid w:val="004F17DE"/>
    <w:rsid w:val="004F1BC1"/>
    <w:rsid w:val="004F29A1"/>
    <w:rsid w:val="004F4DB3"/>
    <w:rsid w:val="004F558F"/>
    <w:rsid w:val="004F5C32"/>
    <w:rsid w:val="004F5DB8"/>
    <w:rsid w:val="004F6057"/>
    <w:rsid w:val="004F6AF6"/>
    <w:rsid w:val="004F78DB"/>
    <w:rsid w:val="00500C8E"/>
    <w:rsid w:val="00501011"/>
    <w:rsid w:val="00501658"/>
    <w:rsid w:val="005017D9"/>
    <w:rsid w:val="00501F71"/>
    <w:rsid w:val="0050270D"/>
    <w:rsid w:val="00502A41"/>
    <w:rsid w:val="00502ED1"/>
    <w:rsid w:val="00503CCE"/>
    <w:rsid w:val="00503D64"/>
    <w:rsid w:val="00504006"/>
    <w:rsid w:val="00504329"/>
    <w:rsid w:val="00504A43"/>
    <w:rsid w:val="00504CD8"/>
    <w:rsid w:val="0050533F"/>
    <w:rsid w:val="005053D6"/>
    <w:rsid w:val="00505B05"/>
    <w:rsid w:val="00506636"/>
    <w:rsid w:val="00511FFA"/>
    <w:rsid w:val="005122D2"/>
    <w:rsid w:val="0051232A"/>
    <w:rsid w:val="00512391"/>
    <w:rsid w:val="0051299D"/>
    <w:rsid w:val="0051304A"/>
    <w:rsid w:val="00513DA7"/>
    <w:rsid w:val="00513E85"/>
    <w:rsid w:val="0051422F"/>
    <w:rsid w:val="005149F9"/>
    <w:rsid w:val="0051536B"/>
    <w:rsid w:val="0051544E"/>
    <w:rsid w:val="00516F2A"/>
    <w:rsid w:val="00517FA1"/>
    <w:rsid w:val="00520A1F"/>
    <w:rsid w:val="00521EA1"/>
    <w:rsid w:val="00522207"/>
    <w:rsid w:val="00522588"/>
    <w:rsid w:val="00522ABD"/>
    <w:rsid w:val="00523926"/>
    <w:rsid w:val="00523F34"/>
    <w:rsid w:val="00526830"/>
    <w:rsid w:val="005277C3"/>
    <w:rsid w:val="00530640"/>
    <w:rsid w:val="0053103E"/>
    <w:rsid w:val="00531136"/>
    <w:rsid w:val="00531143"/>
    <w:rsid w:val="00531470"/>
    <w:rsid w:val="005317A7"/>
    <w:rsid w:val="00532680"/>
    <w:rsid w:val="00532B90"/>
    <w:rsid w:val="00532C4B"/>
    <w:rsid w:val="0053333D"/>
    <w:rsid w:val="00533BC3"/>
    <w:rsid w:val="00533C72"/>
    <w:rsid w:val="00536073"/>
    <w:rsid w:val="0053687E"/>
    <w:rsid w:val="00540DD4"/>
    <w:rsid w:val="00542118"/>
    <w:rsid w:val="00543911"/>
    <w:rsid w:val="00544096"/>
    <w:rsid w:val="0054431F"/>
    <w:rsid w:val="00544760"/>
    <w:rsid w:val="0054565C"/>
    <w:rsid w:val="005457F4"/>
    <w:rsid w:val="00546288"/>
    <w:rsid w:val="005468EA"/>
    <w:rsid w:val="005475F8"/>
    <w:rsid w:val="00550142"/>
    <w:rsid w:val="0055192F"/>
    <w:rsid w:val="00552E89"/>
    <w:rsid w:val="00553D08"/>
    <w:rsid w:val="00554136"/>
    <w:rsid w:val="005553F3"/>
    <w:rsid w:val="005554F0"/>
    <w:rsid w:val="00556389"/>
    <w:rsid w:val="0055698B"/>
    <w:rsid w:val="00556A1C"/>
    <w:rsid w:val="00557427"/>
    <w:rsid w:val="00557728"/>
    <w:rsid w:val="00560A85"/>
    <w:rsid w:val="00560BA6"/>
    <w:rsid w:val="0056158F"/>
    <w:rsid w:val="00561B7F"/>
    <w:rsid w:val="00561EE2"/>
    <w:rsid w:val="00562F09"/>
    <w:rsid w:val="00564249"/>
    <w:rsid w:val="005647EA"/>
    <w:rsid w:val="00567553"/>
    <w:rsid w:val="00567639"/>
    <w:rsid w:val="00567D17"/>
    <w:rsid w:val="005700F9"/>
    <w:rsid w:val="0057250D"/>
    <w:rsid w:val="0057383E"/>
    <w:rsid w:val="00573C07"/>
    <w:rsid w:val="00574BAD"/>
    <w:rsid w:val="00574CDB"/>
    <w:rsid w:val="005763C9"/>
    <w:rsid w:val="00576D55"/>
    <w:rsid w:val="00576E3E"/>
    <w:rsid w:val="005779DB"/>
    <w:rsid w:val="00577A46"/>
    <w:rsid w:val="005810BA"/>
    <w:rsid w:val="0058134E"/>
    <w:rsid w:val="00581C3F"/>
    <w:rsid w:val="00582519"/>
    <w:rsid w:val="00582CD6"/>
    <w:rsid w:val="00582DEC"/>
    <w:rsid w:val="005832B3"/>
    <w:rsid w:val="00583AA5"/>
    <w:rsid w:val="00583BDE"/>
    <w:rsid w:val="00583E51"/>
    <w:rsid w:val="00583EB3"/>
    <w:rsid w:val="005847AC"/>
    <w:rsid w:val="005853DD"/>
    <w:rsid w:val="00586469"/>
    <w:rsid w:val="005869BC"/>
    <w:rsid w:val="00586FD5"/>
    <w:rsid w:val="005912A1"/>
    <w:rsid w:val="005926A4"/>
    <w:rsid w:val="00592820"/>
    <w:rsid w:val="00592F51"/>
    <w:rsid w:val="005932B0"/>
    <w:rsid w:val="00593CE5"/>
    <w:rsid w:val="00594A20"/>
    <w:rsid w:val="0059516C"/>
    <w:rsid w:val="005955A3"/>
    <w:rsid w:val="005955A4"/>
    <w:rsid w:val="00595CF1"/>
    <w:rsid w:val="00596B9F"/>
    <w:rsid w:val="00596CF2"/>
    <w:rsid w:val="00597BBF"/>
    <w:rsid w:val="005A04F4"/>
    <w:rsid w:val="005A08BC"/>
    <w:rsid w:val="005A0F6D"/>
    <w:rsid w:val="005A1884"/>
    <w:rsid w:val="005A24F3"/>
    <w:rsid w:val="005A3173"/>
    <w:rsid w:val="005A3CE2"/>
    <w:rsid w:val="005A3E7A"/>
    <w:rsid w:val="005A4B78"/>
    <w:rsid w:val="005A4F4C"/>
    <w:rsid w:val="005A6A56"/>
    <w:rsid w:val="005A6B3F"/>
    <w:rsid w:val="005A71DA"/>
    <w:rsid w:val="005A76BC"/>
    <w:rsid w:val="005A7A75"/>
    <w:rsid w:val="005B04E2"/>
    <w:rsid w:val="005B0B54"/>
    <w:rsid w:val="005B0C97"/>
    <w:rsid w:val="005B19CE"/>
    <w:rsid w:val="005B280A"/>
    <w:rsid w:val="005B42FA"/>
    <w:rsid w:val="005B46BB"/>
    <w:rsid w:val="005B4888"/>
    <w:rsid w:val="005B7065"/>
    <w:rsid w:val="005B7C36"/>
    <w:rsid w:val="005B7E53"/>
    <w:rsid w:val="005B7EAD"/>
    <w:rsid w:val="005C0055"/>
    <w:rsid w:val="005C0344"/>
    <w:rsid w:val="005C1843"/>
    <w:rsid w:val="005C21BB"/>
    <w:rsid w:val="005C2489"/>
    <w:rsid w:val="005C2800"/>
    <w:rsid w:val="005C2869"/>
    <w:rsid w:val="005C2BC8"/>
    <w:rsid w:val="005C2C5C"/>
    <w:rsid w:val="005C2E3B"/>
    <w:rsid w:val="005C3336"/>
    <w:rsid w:val="005C3C2B"/>
    <w:rsid w:val="005C5514"/>
    <w:rsid w:val="005C6344"/>
    <w:rsid w:val="005C654D"/>
    <w:rsid w:val="005D0172"/>
    <w:rsid w:val="005D03C8"/>
    <w:rsid w:val="005D0861"/>
    <w:rsid w:val="005D1096"/>
    <w:rsid w:val="005D1142"/>
    <w:rsid w:val="005D16BA"/>
    <w:rsid w:val="005D24DE"/>
    <w:rsid w:val="005D254F"/>
    <w:rsid w:val="005D30D6"/>
    <w:rsid w:val="005D3D8F"/>
    <w:rsid w:val="005D416D"/>
    <w:rsid w:val="005D4644"/>
    <w:rsid w:val="005D4B3F"/>
    <w:rsid w:val="005D62A8"/>
    <w:rsid w:val="005D6550"/>
    <w:rsid w:val="005D69E3"/>
    <w:rsid w:val="005D6EB4"/>
    <w:rsid w:val="005D7089"/>
    <w:rsid w:val="005D715B"/>
    <w:rsid w:val="005D7384"/>
    <w:rsid w:val="005D773A"/>
    <w:rsid w:val="005E0346"/>
    <w:rsid w:val="005E099D"/>
    <w:rsid w:val="005E0B3B"/>
    <w:rsid w:val="005E0F2D"/>
    <w:rsid w:val="005E101F"/>
    <w:rsid w:val="005E15EE"/>
    <w:rsid w:val="005E1E68"/>
    <w:rsid w:val="005E249E"/>
    <w:rsid w:val="005E2A18"/>
    <w:rsid w:val="005E2D33"/>
    <w:rsid w:val="005E3407"/>
    <w:rsid w:val="005E3FD7"/>
    <w:rsid w:val="005E471C"/>
    <w:rsid w:val="005E4DF2"/>
    <w:rsid w:val="005E52BD"/>
    <w:rsid w:val="005E5480"/>
    <w:rsid w:val="005E5A21"/>
    <w:rsid w:val="005E5C63"/>
    <w:rsid w:val="005E5E7A"/>
    <w:rsid w:val="005E63E9"/>
    <w:rsid w:val="005E6DE9"/>
    <w:rsid w:val="005E6F9A"/>
    <w:rsid w:val="005E7002"/>
    <w:rsid w:val="005E7586"/>
    <w:rsid w:val="005E7942"/>
    <w:rsid w:val="005E7B38"/>
    <w:rsid w:val="005E7CEA"/>
    <w:rsid w:val="005F0F49"/>
    <w:rsid w:val="005F1126"/>
    <w:rsid w:val="005F13BF"/>
    <w:rsid w:val="005F15A2"/>
    <w:rsid w:val="005F191A"/>
    <w:rsid w:val="005F1F06"/>
    <w:rsid w:val="005F2180"/>
    <w:rsid w:val="005F2718"/>
    <w:rsid w:val="005F2F22"/>
    <w:rsid w:val="005F3C99"/>
    <w:rsid w:val="005F3E92"/>
    <w:rsid w:val="005F49DB"/>
    <w:rsid w:val="005F62A7"/>
    <w:rsid w:val="005F63F2"/>
    <w:rsid w:val="005F7331"/>
    <w:rsid w:val="006004C2"/>
    <w:rsid w:val="00602762"/>
    <w:rsid w:val="00602856"/>
    <w:rsid w:val="00602E0B"/>
    <w:rsid w:val="006035EB"/>
    <w:rsid w:val="00604C69"/>
    <w:rsid w:val="00606639"/>
    <w:rsid w:val="0061022C"/>
    <w:rsid w:val="00610611"/>
    <w:rsid w:val="006106D3"/>
    <w:rsid w:val="00610B9D"/>
    <w:rsid w:val="00610CDC"/>
    <w:rsid w:val="006119BD"/>
    <w:rsid w:val="00611A55"/>
    <w:rsid w:val="006128F5"/>
    <w:rsid w:val="00615A29"/>
    <w:rsid w:val="006169BD"/>
    <w:rsid w:val="00616C89"/>
    <w:rsid w:val="006175BE"/>
    <w:rsid w:val="00617718"/>
    <w:rsid w:val="00617CB6"/>
    <w:rsid w:val="00620A12"/>
    <w:rsid w:val="006212FA"/>
    <w:rsid w:val="00622115"/>
    <w:rsid w:val="006240DB"/>
    <w:rsid w:val="0062484D"/>
    <w:rsid w:val="006253F2"/>
    <w:rsid w:val="006254C2"/>
    <w:rsid w:val="00625D25"/>
    <w:rsid w:val="0062626C"/>
    <w:rsid w:val="006265B8"/>
    <w:rsid w:val="00627DD0"/>
    <w:rsid w:val="00630C76"/>
    <w:rsid w:val="0063182F"/>
    <w:rsid w:val="00631C4F"/>
    <w:rsid w:val="006323D0"/>
    <w:rsid w:val="00632C04"/>
    <w:rsid w:val="00632DA3"/>
    <w:rsid w:val="00633ADB"/>
    <w:rsid w:val="00633B5E"/>
    <w:rsid w:val="00633E1B"/>
    <w:rsid w:val="00633F52"/>
    <w:rsid w:val="00634358"/>
    <w:rsid w:val="006344B4"/>
    <w:rsid w:val="00634F78"/>
    <w:rsid w:val="0063530C"/>
    <w:rsid w:val="0063567D"/>
    <w:rsid w:val="006357D6"/>
    <w:rsid w:val="00635A92"/>
    <w:rsid w:val="00635AB8"/>
    <w:rsid w:val="00636E55"/>
    <w:rsid w:val="00637586"/>
    <w:rsid w:val="0063775C"/>
    <w:rsid w:val="0063788D"/>
    <w:rsid w:val="00640424"/>
    <w:rsid w:val="00640FC8"/>
    <w:rsid w:val="00641317"/>
    <w:rsid w:val="00641868"/>
    <w:rsid w:val="00642C43"/>
    <w:rsid w:val="00643F6C"/>
    <w:rsid w:val="0064504D"/>
    <w:rsid w:val="006453F0"/>
    <w:rsid w:val="006455F0"/>
    <w:rsid w:val="006457AF"/>
    <w:rsid w:val="00646FC3"/>
    <w:rsid w:val="00647165"/>
    <w:rsid w:val="00647E72"/>
    <w:rsid w:val="00647FEE"/>
    <w:rsid w:val="00650819"/>
    <w:rsid w:val="00650C23"/>
    <w:rsid w:val="00650DD0"/>
    <w:rsid w:val="006511F0"/>
    <w:rsid w:val="00651515"/>
    <w:rsid w:val="006518D1"/>
    <w:rsid w:val="00653460"/>
    <w:rsid w:val="006534D4"/>
    <w:rsid w:val="0065475A"/>
    <w:rsid w:val="00655F26"/>
    <w:rsid w:val="00655FE4"/>
    <w:rsid w:val="00656D14"/>
    <w:rsid w:val="006572E4"/>
    <w:rsid w:val="006575BB"/>
    <w:rsid w:val="0065776D"/>
    <w:rsid w:val="00657934"/>
    <w:rsid w:val="0066010B"/>
    <w:rsid w:val="00660256"/>
    <w:rsid w:val="00660388"/>
    <w:rsid w:val="00660FE6"/>
    <w:rsid w:val="006611A6"/>
    <w:rsid w:val="00661353"/>
    <w:rsid w:val="006619B5"/>
    <w:rsid w:val="00661ABB"/>
    <w:rsid w:val="006628B0"/>
    <w:rsid w:val="006630D4"/>
    <w:rsid w:val="00663102"/>
    <w:rsid w:val="006631A4"/>
    <w:rsid w:val="00663817"/>
    <w:rsid w:val="00663943"/>
    <w:rsid w:val="006642DA"/>
    <w:rsid w:val="0066457F"/>
    <w:rsid w:val="006652A1"/>
    <w:rsid w:val="00665CA5"/>
    <w:rsid w:val="006660CF"/>
    <w:rsid w:val="00666404"/>
    <w:rsid w:val="00666426"/>
    <w:rsid w:val="00666D27"/>
    <w:rsid w:val="00671071"/>
    <w:rsid w:val="006711E7"/>
    <w:rsid w:val="00671315"/>
    <w:rsid w:val="00671470"/>
    <w:rsid w:val="00671E27"/>
    <w:rsid w:val="00673245"/>
    <w:rsid w:val="006747ED"/>
    <w:rsid w:val="0067544F"/>
    <w:rsid w:val="006766DB"/>
    <w:rsid w:val="00676BAE"/>
    <w:rsid w:val="00677070"/>
    <w:rsid w:val="00677934"/>
    <w:rsid w:val="00677AA5"/>
    <w:rsid w:val="00677F7B"/>
    <w:rsid w:val="00680D18"/>
    <w:rsid w:val="00680D84"/>
    <w:rsid w:val="006826D4"/>
    <w:rsid w:val="00683055"/>
    <w:rsid w:val="006830EA"/>
    <w:rsid w:val="00684DD1"/>
    <w:rsid w:val="00684ED7"/>
    <w:rsid w:val="006855D1"/>
    <w:rsid w:val="00686524"/>
    <w:rsid w:val="00687088"/>
    <w:rsid w:val="0068741C"/>
    <w:rsid w:val="00690450"/>
    <w:rsid w:val="00690508"/>
    <w:rsid w:val="006912FC"/>
    <w:rsid w:val="006935DE"/>
    <w:rsid w:val="0069382E"/>
    <w:rsid w:val="006942B8"/>
    <w:rsid w:val="00694482"/>
    <w:rsid w:val="006962E2"/>
    <w:rsid w:val="0069687B"/>
    <w:rsid w:val="00696880"/>
    <w:rsid w:val="00696D70"/>
    <w:rsid w:val="006976CC"/>
    <w:rsid w:val="00697E19"/>
    <w:rsid w:val="006A10CD"/>
    <w:rsid w:val="006A1CD3"/>
    <w:rsid w:val="006A31E2"/>
    <w:rsid w:val="006A5C17"/>
    <w:rsid w:val="006A60E4"/>
    <w:rsid w:val="006B2A79"/>
    <w:rsid w:val="006B2EC0"/>
    <w:rsid w:val="006B2F18"/>
    <w:rsid w:val="006B35A2"/>
    <w:rsid w:val="006B36C9"/>
    <w:rsid w:val="006B3EB2"/>
    <w:rsid w:val="006B4CBC"/>
    <w:rsid w:val="006B4D5F"/>
    <w:rsid w:val="006B50AC"/>
    <w:rsid w:val="006B5A63"/>
    <w:rsid w:val="006B6395"/>
    <w:rsid w:val="006B6987"/>
    <w:rsid w:val="006B6F10"/>
    <w:rsid w:val="006B73C0"/>
    <w:rsid w:val="006B7908"/>
    <w:rsid w:val="006B797C"/>
    <w:rsid w:val="006C0F9A"/>
    <w:rsid w:val="006C1950"/>
    <w:rsid w:val="006C206E"/>
    <w:rsid w:val="006C2D8E"/>
    <w:rsid w:val="006C2FD1"/>
    <w:rsid w:val="006C341D"/>
    <w:rsid w:val="006C3B59"/>
    <w:rsid w:val="006C515E"/>
    <w:rsid w:val="006C6507"/>
    <w:rsid w:val="006C6676"/>
    <w:rsid w:val="006C66DB"/>
    <w:rsid w:val="006C6823"/>
    <w:rsid w:val="006D071E"/>
    <w:rsid w:val="006D1009"/>
    <w:rsid w:val="006D24CD"/>
    <w:rsid w:val="006D258B"/>
    <w:rsid w:val="006D4260"/>
    <w:rsid w:val="006D443E"/>
    <w:rsid w:val="006D5A05"/>
    <w:rsid w:val="006D60A2"/>
    <w:rsid w:val="006D6680"/>
    <w:rsid w:val="006E03E5"/>
    <w:rsid w:val="006E1881"/>
    <w:rsid w:val="006E2459"/>
    <w:rsid w:val="006E248E"/>
    <w:rsid w:val="006E2FBF"/>
    <w:rsid w:val="006E45C4"/>
    <w:rsid w:val="006E474C"/>
    <w:rsid w:val="006E493C"/>
    <w:rsid w:val="006E4D68"/>
    <w:rsid w:val="006E57A2"/>
    <w:rsid w:val="006E5FC7"/>
    <w:rsid w:val="006E6211"/>
    <w:rsid w:val="006E72D1"/>
    <w:rsid w:val="006E750B"/>
    <w:rsid w:val="006E7AE6"/>
    <w:rsid w:val="006E7B12"/>
    <w:rsid w:val="006E7B9F"/>
    <w:rsid w:val="006E7F54"/>
    <w:rsid w:val="006F1295"/>
    <w:rsid w:val="006F14CD"/>
    <w:rsid w:val="006F170B"/>
    <w:rsid w:val="006F19AA"/>
    <w:rsid w:val="006F219A"/>
    <w:rsid w:val="006F2736"/>
    <w:rsid w:val="006F2937"/>
    <w:rsid w:val="006F4B22"/>
    <w:rsid w:val="006F4B6B"/>
    <w:rsid w:val="006F706A"/>
    <w:rsid w:val="006F7C18"/>
    <w:rsid w:val="00700042"/>
    <w:rsid w:val="00701156"/>
    <w:rsid w:val="0070123C"/>
    <w:rsid w:val="00701319"/>
    <w:rsid w:val="00702A2D"/>
    <w:rsid w:val="00702AAD"/>
    <w:rsid w:val="00702C28"/>
    <w:rsid w:val="00703916"/>
    <w:rsid w:val="00703DAF"/>
    <w:rsid w:val="00703F41"/>
    <w:rsid w:val="00706EC5"/>
    <w:rsid w:val="007074A5"/>
    <w:rsid w:val="00707EB7"/>
    <w:rsid w:val="007102C0"/>
    <w:rsid w:val="00710737"/>
    <w:rsid w:val="007131C2"/>
    <w:rsid w:val="00713A52"/>
    <w:rsid w:val="0071400D"/>
    <w:rsid w:val="00715474"/>
    <w:rsid w:val="00716756"/>
    <w:rsid w:val="007173EE"/>
    <w:rsid w:val="00717E8A"/>
    <w:rsid w:val="0072095B"/>
    <w:rsid w:val="007210ED"/>
    <w:rsid w:val="00721801"/>
    <w:rsid w:val="00724A25"/>
    <w:rsid w:val="00725C72"/>
    <w:rsid w:val="007265D0"/>
    <w:rsid w:val="00727DD0"/>
    <w:rsid w:val="00730222"/>
    <w:rsid w:val="00730438"/>
    <w:rsid w:val="0073058A"/>
    <w:rsid w:val="00730A1B"/>
    <w:rsid w:val="00730B34"/>
    <w:rsid w:val="007310D2"/>
    <w:rsid w:val="00731318"/>
    <w:rsid w:val="007317E3"/>
    <w:rsid w:val="00731DB1"/>
    <w:rsid w:val="00732BF8"/>
    <w:rsid w:val="00733211"/>
    <w:rsid w:val="00733559"/>
    <w:rsid w:val="00733B74"/>
    <w:rsid w:val="00733BBF"/>
    <w:rsid w:val="00733C35"/>
    <w:rsid w:val="00734053"/>
    <w:rsid w:val="00734078"/>
    <w:rsid w:val="007342F8"/>
    <w:rsid w:val="00734B48"/>
    <w:rsid w:val="00734C01"/>
    <w:rsid w:val="0073601A"/>
    <w:rsid w:val="00736404"/>
    <w:rsid w:val="00736BDA"/>
    <w:rsid w:val="00736ED1"/>
    <w:rsid w:val="00741E8A"/>
    <w:rsid w:val="007421CA"/>
    <w:rsid w:val="007423F6"/>
    <w:rsid w:val="00742F07"/>
    <w:rsid w:val="00743462"/>
    <w:rsid w:val="007434FC"/>
    <w:rsid w:val="00743D62"/>
    <w:rsid w:val="00745636"/>
    <w:rsid w:val="00745972"/>
    <w:rsid w:val="00746B85"/>
    <w:rsid w:val="007475B1"/>
    <w:rsid w:val="00747C53"/>
    <w:rsid w:val="007507AC"/>
    <w:rsid w:val="007519D6"/>
    <w:rsid w:val="00751E80"/>
    <w:rsid w:val="0075343C"/>
    <w:rsid w:val="0075367E"/>
    <w:rsid w:val="00754492"/>
    <w:rsid w:val="0075487F"/>
    <w:rsid w:val="00755C50"/>
    <w:rsid w:val="00756711"/>
    <w:rsid w:val="007572CF"/>
    <w:rsid w:val="00757C08"/>
    <w:rsid w:val="007604BD"/>
    <w:rsid w:val="0076117B"/>
    <w:rsid w:val="0076135C"/>
    <w:rsid w:val="00762947"/>
    <w:rsid w:val="00762A1D"/>
    <w:rsid w:val="00762AF5"/>
    <w:rsid w:val="00762F02"/>
    <w:rsid w:val="00763217"/>
    <w:rsid w:val="00763880"/>
    <w:rsid w:val="00763C98"/>
    <w:rsid w:val="00764200"/>
    <w:rsid w:val="00764364"/>
    <w:rsid w:val="007657DD"/>
    <w:rsid w:val="007673A5"/>
    <w:rsid w:val="00767DD7"/>
    <w:rsid w:val="00770F7C"/>
    <w:rsid w:val="00770FEF"/>
    <w:rsid w:val="007719D7"/>
    <w:rsid w:val="00772241"/>
    <w:rsid w:val="0077262C"/>
    <w:rsid w:val="00773BED"/>
    <w:rsid w:val="00774BDC"/>
    <w:rsid w:val="00775B26"/>
    <w:rsid w:val="0077732C"/>
    <w:rsid w:val="00777BC5"/>
    <w:rsid w:val="00777BCF"/>
    <w:rsid w:val="00777DED"/>
    <w:rsid w:val="00777FB3"/>
    <w:rsid w:val="00780A9C"/>
    <w:rsid w:val="007814C0"/>
    <w:rsid w:val="00781708"/>
    <w:rsid w:val="007840E1"/>
    <w:rsid w:val="00784570"/>
    <w:rsid w:val="007845C6"/>
    <w:rsid w:val="00784C0D"/>
    <w:rsid w:val="00784D8F"/>
    <w:rsid w:val="00784D9A"/>
    <w:rsid w:val="007850F3"/>
    <w:rsid w:val="007851C5"/>
    <w:rsid w:val="00786743"/>
    <w:rsid w:val="007873F6"/>
    <w:rsid w:val="00787529"/>
    <w:rsid w:val="00787777"/>
    <w:rsid w:val="007921D2"/>
    <w:rsid w:val="00793160"/>
    <w:rsid w:val="007934B6"/>
    <w:rsid w:val="007939C3"/>
    <w:rsid w:val="00793CA2"/>
    <w:rsid w:val="0079432F"/>
    <w:rsid w:val="00794720"/>
    <w:rsid w:val="00795776"/>
    <w:rsid w:val="00796A48"/>
    <w:rsid w:val="007977C0"/>
    <w:rsid w:val="007A0318"/>
    <w:rsid w:val="007A15CE"/>
    <w:rsid w:val="007A1ABD"/>
    <w:rsid w:val="007A1DC0"/>
    <w:rsid w:val="007A24C2"/>
    <w:rsid w:val="007A3C92"/>
    <w:rsid w:val="007A3E15"/>
    <w:rsid w:val="007A3E19"/>
    <w:rsid w:val="007A3E2F"/>
    <w:rsid w:val="007A4077"/>
    <w:rsid w:val="007A4720"/>
    <w:rsid w:val="007A5251"/>
    <w:rsid w:val="007A5459"/>
    <w:rsid w:val="007A55D3"/>
    <w:rsid w:val="007A5691"/>
    <w:rsid w:val="007A57CE"/>
    <w:rsid w:val="007A65E1"/>
    <w:rsid w:val="007A6888"/>
    <w:rsid w:val="007A68B4"/>
    <w:rsid w:val="007A74C7"/>
    <w:rsid w:val="007B08FF"/>
    <w:rsid w:val="007B0920"/>
    <w:rsid w:val="007B093D"/>
    <w:rsid w:val="007B316C"/>
    <w:rsid w:val="007B35AC"/>
    <w:rsid w:val="007B3B5C"/>
    <w:rsid w:val="007B3E8B"/>
    <w:rsid w:val="007B3EF7"/>
    <w:rsid w:val="007B54DD"/>
    <w:rsid w:val="007B574B"/>
    <w:rsid w:val="007B5B04"/>
    <w:rsid w:val="007B697A"/>
    <w:rsid w:val="007B7380"/>
    <w:rsid w:val="007B73FF"/>
    <w:rsid w:val="007C06CA"/>
    <w:rsid w:val="007C22EA"/>
    <w:rsid w:val="007C23CA"/>
    <w:rsid w:val="007C3AF1"/>
    <w:rsid w:val="007C3E60"/>
    <w:rsid w:val="007C3FC4"/>
    <w:rsid w:val="007C444C"/>
    <w:rsid w:val="007C5131"/>
    <w:rsid w:val="007C51B7"/>
    <w:rsid w:val="007C54BC"/>
    <w:rsid w:val="007C5DF9"/>
    <w:rsid w:val="007C626C"/>
    <w:rsid w:val="007C7E30"/>
    <w:rsid w:val="007D2001"/>
    <w:rsid w:val="007D3A9B"/>
    <w:rsid w:val="007D45C1"/>
    <w:rsid w:val="007D5966"/>
    <w:rsid w:val="007D5AF1"/>
    <w:rsid w:val="007D796B"/>
    <w:rsid w:val="007D7BB6"/>
    <w:rsid w:val="007E0244"/>
    <w:rsid w:val="007E04EE"/>
    <w:rsid w:val="007E0944"/>
    <w:rsid w:val="007E1F22"/>
    <w:rsid w:val="007E283E"/>
    <w:rsid w:val="007E2ADC"/>
    <w:rsid w:val="007E48AA"/>
    <w:rsid w:val="007E562F"/>
    <w:rsid w:val="007E5674"/>
    <w:rsid w:val="007E56D1"/>
    <w:rsid w:val="007E6E98"/>
    <w:rsid w:val="007E6F77"/>
    <w:rsid w:val="007E7E81"/>
    <w:rsid w:val="007F06C1"/>
    <w:rsid w:val="007F1D62"/>
    <w:rsid w:val="007F32D2"/>
    <w:rsid w:val="007F3BA6"/>
    <w:rsid w:val="007F3F18"/>
    <w:rsid w:val="007F43B7"/>
    <w:rsid w:val="007F4851"/>
    <w:rsid w:val="007F486E"/>
    <w:rsid w:val="007F505B"/>
    <w:rsid w:val="007F5BD3"/>
    <w:rsid w:val="007F6CCE"/>
    <w:rsid w:val="0080219A"/>
    <w:rsid w:val="008027B6"/>
    <w:rsid w:val="00802D67"/>
    <w:rsid w:val="00803AA7"/>
    <w:rsid w:val="008046B4"/>
    <w:rsid w:val="00804B81"/>
    <w:rsid w:val="00805388"/>
    <w:rsid w:val="008058BF"/>
    <w:rsid w:val="00806425"/>
    <w:rsid w:val="008068D7"/>
    <w:rsid w:val="0080692B"/>
    <w:rsid w:val="00806FBF"/>
    <w:rsid w:val="008077C9"/>
    <w:rsid w:val="00810DC2"/>
    <w:rsid w:val="008117B5"/>
    <w:rsid w:val="00813154"/>
    <w:rsid w:val="00813693"/>
    <w:rsid w:val="00814929"/>
    <w:rsid w:val="008152CD"/>
    <w:rsid w:val="0081615D"/>
    <w:rsid w:val="00816B8A"/>
    <w:rsid w:val="00817744"/>
    <w:rsid w:val="00817C8E"/>
    <w:rsid w:val="00820277"/>
    <w:rsid w:val="00821AEC"/>
    <w:rsid w:val="00822C1F"/>
    <w:rsid w:val="008234F6"/>
    <w:rsid w:val="00823D7F"/>
    <w:rsid w:val="00824500"/>
    <w:rsid w:val="00825544"/>
    <w:rsid w:val="00825B23"/>
    <w:rsid w:val="00825C06"/>
    <w:rsid w:val="00826137"/>
    <w:rsid w:val="008269BA"/>
    <w:rsid w:val="008271F7"/>
    <w:rsid w:val="008311DC"/>
    <w:rsid w:val="00831526"/>
    <w:rsid w:val="008321EC"/>
    <w:rsid w:val="00833024"/>
    <w:rsid w:val="00833108"/>
    <w:rsid w:val="00833AFB"/>
    <w:rsid w:val="00833D58"/>
    <w:rsid w:val="00834490"/>
    <w:rsid w:val="008349D7"/>
    <w:rsid w:val="00834FDD"/>
    <w:rsid w:val="00835A8F"/>
    <w:rsid w:val="00835F3F"/>
    <w:rsid w:val="00837CDE"/>
    <w:rsid w:val="00841814"/>
    <w:rsid w:val="008419C3"/>
    <w:rsid w:val="00841B45"/>
    <w:rsid w:val="00842234"/>
    <w:rsid w:val="008425F6"/>
    <w:rsid w:val="00843450"/>
    <w:rsid w:val="00843710"/>
    <w:rsid w:val="00843C19"/>
    <w:rsid w:val="00844581"/>
    <w:rsid w:val="0084478E"/>
    <w:rsid w:val="00846046"/>
    <w:rsid w:val="008469C2"/>
    <w:rsid w:val="00847048"/>
    <w:rsid w:val="00847DCF"/>
    <w:rsid w:val="00850C2E"/>
    <w:rsid w:val="00850F20"/>
    <w:rsid w:val="00852AEF"/>
    <w:rsid w:val="00852E7E"/>
    <w:rsid w:val="008534B9"/>
    <w:rsid w:val="00853C48"/>
    <w:rsid w:val="008545A7"/>
    <w:rsid w:val="00855F03"/>
    <w:rsid w:val="008561D1"/>
    <w:rsid w:val="008563E3"/>
    <w:rsid w:val="008565DB"/>
    <w:rsid w:val="008568B6"/>
    <w:rsid w:val="00856F0E"/>
    <w:rsid w:val="0085760F"/>
    <w:rsid w:val="0086125A"/>
    <w:rsid w:val="00861A64"/>
    <w:rsid w:val="00862023"/>
    <w:rsid w:val="00862757"/>
    <w:rsid w:val="00864132"/>
    <w:rsid w:val="0086500E"/>
    <w:rsid w:val="00865A10"/>
    <w:rsid w:val="00865B82"/>
    <w:rsid w:val="00866E5C"/>
    <w:rsid w:val="0086781B"/>
    <w:rsid w:val="008700C7"/>
    <w:rsid w:val="008701D4"/>
    <w:rsid w:val="00871D86"/>
    <w:rsid w:val="00872868"/>
    <w:rsid w:val="008729DD"/>
    <w:rsid w:val="0087357E"/>
    <w:rsid w:val="00873AF0"/>
    <w:rsid w:val="00873B2A"/>
    <w:rsid w:val="00873DE3"/>
    <w:rsid w:val="0087488E"/>
    <w:rsid w:val="0087550E"/>
    <w:rsid w:val="00875A17"/>
    <w:rsid w:val="00875D1E"/>
    <w:rsid w:val="00875DD0"/>
    <w:rsid w:val="00876218"/>
    <w:rsid w:val="00877828"/>
    <w:rsid w:val="008809E3"/>
    <w:rsid w:val="00881014"/>
    <w:rsid w:val="0088156C"/>
    <w:rsid w:val="00883B97"/>
    <w:rsid w:val="008843E7"/>
    <w:rsid w:val="00884990"/>
    <w:rsid w:val="00885F80"/>
    <w:rsid w:val="008870BB"/>
    <w:rsid w:val="00887880"/>
    <w:rsid w:val="00887A50"/>
    <w:rsid w:val="00887F18"/>
    <w:rsid w:val="00887F88"/>
    <w:rsid w:val="008912AE"/>
    <w:rsid w:val="00891DAF"/>
    <w:rsid w:val="00893889"/>
    <w:rsid w:val="00894944"/>
    <w:rsid w:val="008950C4"/>
    <w:rsid w:val="00895931"/>
    <w:rsid w:val="00896631"/>
    <w:rsid w:val="00896C3E"/>
    <w:rsid w:val="00896DFA"/>
    <w:rsid w:val="00896EA7"/>
    <w:rsid w:val="00897691"/>
    <w:rsid w:val="008A0072"/>
    <w:rsid w:val="008A007B"/>
    <w:rsid w:val="008A114A"/>
    <w:rsid w:val="008A1B3B"/>
    <w:rsid w:val="008A1EF5"/>
    <w:rsid w:val="008A235E"/>
    <w:rsid w:val="008A2796"/>
    <w:rsid w:val="008A4775"/>
    <w:rsid w:val="008A4BF5"/>
    <w:rsid w:val="008A5A18"/>
    <w:rsid w:val="008A5F15"/>
    <w:rsid w:val="008A60BE"/>
    <w:rsid w:val="008A6BB0"/>
    <w:rsid w:val="008A6CF5"/>
    <w:rsid w:val="008A71DA"/>
    <w:rsid w:val="008A7AE1"/>
    <w:rsid w:val="008B16BB"/>
    <w:rsid w:val="008B379D"/>
    <w:rsid w:val="008B3BA8"/>
    <w:rsid w:val="008B4E46"/>
    <w:rsid w:val="008B5DD7"/>
    <w:rsid w:val="008B655E"/>
    <w:rsid w:val="008B6D05"/>
    <w:rsid w:val="008B735A"/>
    <w:rsid w:val="008C0182"/>
    <w:rsid w:val="008C0291"/>
    <w:rsid w:val="008C043B"/>
    <w:rsid w:val="008C0D82"/>
    <w:rsid w:val="008C127A"/>
    <w:rsid w:val="008C13EB"/>
    <w:rsid w:val="008C14F2"/>
    <w:rsid w:val="008C18A5"/>
    <w:rsid w:val="008C26C3"/>
    <w:rsid w:val="008C297C"/>
    <w:rsid w:val="008C48C1"/>
    <w:rsid w:val="008C4A99"/>
    <w:rsid w:val="008C582E"/>
    <w:rsid w:val="008C6A0B"/>
    <w:rsid w:val="008C6A54"/>
    <w:rsid w:val="008C6BE5"/>
    <w:rsid w:val="008C6F58"/>
    <w:rsid w:val="008C771B"/>
    <w:rsid w:val="008C796C"/>
    <w:rsid w:val="008C79F7"/>
    <w:rsid w:val="008D002E"/>
    <w:rsid w:val="008D0207"/>
    <w:rsid w:val="008D060A"/>
    <w:rsid w:val="008D1898"/>
    <w:rsid w:val="008D233C"/>
    <w:rsid w:val="008D2983"/>
    <w:rsid w:val="008D2E72"/>
    <w:rsid w:val="008D3F2C"/>
    <w:rsid w:val="008D4605"/>
    <w:rsid w:val="008D4F49"/>
    <w:rsid w:val="008D5A52"/>
    <w:rsid w:val="008D6E16"/>
    <w:rsid w:val="008D7B01"/>
    <w:rsid w:val="008E0FE2"/>
    <w:rsid w:val="008E223C"/>
    <w:rsid w:val="008E229F"/>
    <w:rsid w:val="008E4731"/>
    <w:rsid w:val="008E5562"/>
    <w:rsid w:val="008E58A6"/>
    <w:rsid w:val="008E5D1B"/>
    <w:rsid w:val="008E65EE"/>
    <w:rsid w:val="008E6B4C"/>
    <w:rsid w:val="008E75F1"/>
    <w:rsid w:val="008F0B16"/>
    <w:rsid w:val="008F1522"/>
    <w:rsid w:val="008F2D31"/>
    <w:rsid w:val="008F2DC5"/>
    <w:rsid w:val="008F35D5"/>
    <w:rsid w:val="008F3791"/>
    <w:rsid w:val="008F486C"/>
    <w:rsid w:val="008F4B5D"/>
    <w:rsid w:val="008F61D9"/>
    <w:rsid w:val="008F6322"/>
    <w:rsid w:val="008F6830"/>
    <w:rsid w:val="008F6D80"/>
    <w:rsid w:val="008F72CA"/>
    <w:rsid w:val="00901CF1"/>
    <w:rsid w:val="00902983"/>
    <w:rsid w:val="00902D00"/>
    <w:rsid w:val="00903B40"/>
    <w:rsid w:val="00903C4E"/>
    <w:rsid w:val="0090402C"/>
    <w:rsid w:val="00904181"/>
    <w:rsid w:val="00904716"/>
    <w:rsid w:val="0090579F"/>
    <w:rsid w:val="00906436"/>
    <w:rsid w:val="0090657F"/>
    <w:rsid w:val="0090746B"/>
    <w:rsid w:val="009102A5"/>
    <w:rsid w:val="00910635"/>
    <w:rsid w:val="00910806"/>
    <w:rsid w:val="00910A29"/>
    <w:rsid w:val="00910EFE"/>
    <w:rsid w:val="00910FCB"/>
    <w:rsid w:val="009111B6"/>
    <w:rsid w:val="00911405"/>
    <w:rsid w:val="009126FE"/>
    <w:rsid w:val="00913CDA"/>
    <w:rsid w:val="00913FF1"/>
    <w:rsid w:val="009146DC"/>
    <w:rsid w:val="00914A2B"/>
    <w:rsid w:val="00915090"/>
    <w:rsid w:val="00916F1F"/>
    <w:rsid w:val="0092058E"/>
    <w:rsid w:val="00920E4C"/>
    <w:rsid w:val="0092245C"/>
    <w:rsid w:val="00922577"/>
    <w:rsid w:val="00922CC1"/>
    <w:rsid w:val="00923721"/>
    <w:rsid w:val="00923DFB"/>
    <w:rsid w:val="00924037"/>
    <w:rsid w:val="0092524C"/>
    <w:rsid w:val="009260D5"/>
    <w:rsid w:val="0092628C"/>
    <w:rsid w:val="009262BC"/>
    <w:rsid w:val="00926696"/>
    <w:rsid w:val="00927460"/>
    <w:rsid w:val="0093009F"/>
    <w:rsid w:val="00930444"/>
    <w:rsid w:val="00930CAF"/>
    <w:rsid w:val="00931AD2"/>
    <w:rsid w:val="00931B17"/>
    <w:rsid w:val="00931ED5"/>
    <w:rsid w:val="009336CC"/>
    <w:rsid w:val="00934861"/>
    <w:rsid w:val="00934A82"/>
    <w:rsid w:val="00934C50"/>
    <w:rsid w:val="00935501"/>
    <w:rsid w:val="00935C16"/>
    <w:rsid w:val="00936CEA"/>
    <w:rsid w:val="00936F2A"/>
    <w:rsid w:val="009372D7"/>
    <w:rsid w:val="00940A9D"/>
    <w:rsid w:val="00940F87"/>
    <w:rsid w:val="0094141E"/>
    <w:rsid w:val="009419C7"/>
    <w:rsid w:val="00941A62"/>
    <w:rsid w:val="009421AB"/>
    <w:rsid w:val="0094229D"/>
    <w:rsid w:val="00942B5F"/>
    <w:rsid w:val="00943DF4"/>
    <w:rsid w:val="009447BD"/>
    <w:rsid w:val="00944B37"/>
    <w:rsid w:val="00945368"/>
    <w:rsid w:val="0094544D"/>
    <w:rsid w:val="00945656"/>
    <w:rsid w:val="009477EA"/>
    <w:rsid w:val="0095073B"/>
    <w:rsid w:val="00950AD6"/>
    <w:rsid w:val="00951525"/>
    <w:rsid w:val="00951671"/>
    <w:rsid w:val="009516E4"/>
    <w:rsid w:val="00952D20"/>
    <w:rsid w:val="00953B20"/>
    <w:rsid w:val="009542E5"/>
    <w:rsid w:val="00955E16"/>
    <w:rsid w:val="00956148"/>
    <w:rsid w:val="0095623D"/>
    <w:rsid w:val="0095663C"/>
    <w:rsid w:val="00956710"/>
    <w:rsid w:val="009569D7"/>
    <w:rsid w:val="00957B28"/>
    <w:rsid w:val="00957BC9"/>
    <w:rsid w:val="00957C1D"/>
    <w:rsid w:val="00960316"/>
    <w:rsid w:val="009605DA"/>
    <w:rsid w:val="00960753"/>
    <w:rsid w:val="0096170E"/>
    <w:rsid w:val="00961F09"/>
    <w:rsid w:val="00962301"/>
    <w:rsid w:val="00962430"/>
    <w:rsid w:val="00963C59"/>
    <w:rsid w:val="00963E24"/>
    <w:rsid w:val="00963EFE"/>
    <w:rsid w:val="00965D88"/>
    <w:rsid w:val="00965EE6"/>
    <w:rsid w:val="00966478"/>
    <w:rsid w:val="00966F7D"/>
    <w:rsid w:val="00967157"/>
    <w:rsid w:val="00970249"/>
    <w:rsid w:val="0097058E"/>
    <w:rsid w:val="0097096D"/>
    <w:rsid w:val="00970E77"/>
    <w:rsid w:val="00970FF0"/>
    <w:rsid w:val="00972090"/>
    <w:rsid w:val="00972B40"/>
    <w:rsid w:val="00975135"/>
    <w:rsid w:val="009755FF"/>
    <w:rsid w:val="00975C86"/>
    <w:rsid w:val="009762A9"/>
    <w:rsid w:val="009770D8"/>
    <w:rsid w:val="0098122E"/>
    <w:rsid w:val="009814D3"/>
    <w:rsid w:val="00982D8A"/>
    <w:rsid w:val="009834F8"/>
    <w:rsid w:val="00983CA8"/>
    <w:rsid w:val="00983E63"/>
    <w:rsid w:val="00983F8A"/>
    <w:rsid w:val="009855C6"/>
    <w:rsid w:val="00987705"/>
    <w:rsid w:val="0098786D"/>
    <w:rsid w:val="00991034"/>
    <w:rsid w:val="00991322"/>
    <w:rsid w:val="0099163E"/>
    <w:rsid w:val="00991F2C"/>
    <w:rsid w:val="009943D4"/>
    <w:rsid w:val="00994731"/>
    <w:rsid w:val="00995EA0"/>
    <w:rsid w:val="009A0B05"/>
    <w:rsid w:val="009A0D8B"/>
    <w:rsid w:val="009A0DD7"/>
    <w:rsid w:val="009A2056"/>
    <w:rsid w:val="009A28C8"/>
    <w:rsid w:val="009A2CA9"/>
    <w:rsid w:val="009A3E0B"/>
    <w:rsid w:val="009A472E"/>
    <w:rsid w:val="009A5413"/>
    <w:rsid w:val="009A6280"/>
    <w:rsid w:val="009A764F"/>
    <w:rsid w:val="009B0B88"/>
    <w:rsid w:val="009B0E4D"/>
    <w:rsid w:val="009B17DB"/>
    <w:rsid w:val="009B2DA9"/>
    <w:rsid w:val="009B3067"/>
    <w:rsid w:val="009B3976"/>
    <w:rsid w:val="009B4042"/>
    <w:rsid w:val="009B5772"/>
    <w:rsid w:val="009B5981"/>
    <w:rsid w:val="009B5C3B"/>
    <w:rsid w:val="009B61E8"/>
    <w:rsid w:val="009B6635"/>
    <w:rsid w:val="009B763E"/>
    <w:rsid w:val="009B7E78"/>
    <w:rsid w:val="009C01C7"/>
    <w:rsid w:val="009C0476"/>
    <w:rsid w:val="009C169A"/>
    <w:rsid w:val="009C2367"/>
    <w:rsid w:val="009C2E52"/>
    <w:rsid w:val="009C368B"/>
    <w:rsid w:val="009C38AA"/>
    <w:rsid w:val="009C3C86"/>
    <w:rsid w:val="009C5109"/>
    <w:rsid w:val="009C6A8B"/>
    <w:rsid w:val="009C7A91"/>
    <w:rsid w:val="009D0458"/>
    <w:rsid w:val="009D2DAB"/>
    <w:rsid w:val="009D4300"/>
    <w:rsid w:val="009D4C9F"/>
    <w:rsid w:val="009D54C8"/>
    <w:rsid w:val="009D551B"/>
    <w:rsid w:val="009D591F"/>
    <w:rsid w:val="009D6EE4"/>
    <w:rsid w:val="009D76DC"/>
    <w:rsid w:val="009D7830"/>
    <w:rsid w:val="009D7A6F"/>
    <w:rsid w:val="009E08D5"/>
    <w:rsid w:val="009E0AE8"/>
    <w:rsid w:val="009E0B16"/>
    <w:rsid w:val="009E1427"/>
    <w:rsid w:val="009E225E"/>
    <w:rsid w:val="009E3EF5"/>
    <w:rsid w:val="009E45AF"/>
    <w:rsid w:val="009E74D9"/>
    <w:rsid w:val="009F0844"/>
    <w:rsid w:val="009F167C"/>
    <w:rsid w:val="009F2DAA"/>
    <w:rsid w:val="009F2FED"/>
    <w:rsid w:val="009F32A8"/>
    <w:rsid w:val="009F37CA"/>
    <w:rsid w:val="009F4715"/>
    <w:rsid w:val="009F5280"/>
    <w:rsid w:val="009F545C"/>
    <w:rsid w:val="00A00701"/>
    <w:rsid w:val="00A00BE1"/>
    <w:rsid w:val="00A011BD"/>
    <w:rsid w:val="00A02D28"/>
    <w:rsid w:val="00A04657"/>
    <w:rsid w:val="00A05879"/>
    <w:rsid w:val="00A06146"/>
    <w:rsid w:val="00A06492"/>
    <w:rsid w:val="00A0729C"/>
    <w:rsid w:val="00A102A7"/>
    <w:rsid w:val="00A1058B"/>
    <w:rsid w:val="00A1094D"/>
    <w:rsid w:val="00A109A8"/>
    <w:rsid w:val="00A10AA1"/>
    <w:rsid w:val="00A10B42"/>
    <w:rsid w:val="00A11099"/>
    <w:rsid w:val="00A1132A"/>
    <w:rsid w:val="00A11659"/>
    <w:rsid w:val="00A11F4B"/>
    <w:rsid w:val="00A12ADA"/>
    <w:rsid w:val="00A13201"/>
    <w:rsid w:val="00A132C7"/>
    <w:rsid w:val="00A13B07"/>
    <w:rsid w:val="00A1788D"/>
    <w:rsid w:val="00A17FE3"/>
    <w:rsid w:val="00A215CA"/>
    <w:rsid w:val="00A219A4"/>
    <w:rsid w:val="00A21EA1"/>
    <w:rsid w:val="00A220D9"/>
    <w:rsid w:val="00A22A1C"/>
    <w:rsid w:val="00A22A25"/>
    <w:rsid w:val="00A23977"/>
    <w:rsid w:val="00A24D8B"/>
    <w:rsid w:val="00A25DD6"/>
    <w:rsid w:val="00A26408"/>
    <w:rsid w:val="00A272DB"/>
    <w:rsid w:val="00A27670"/>
    <w:rsid w:val="00A278E4"/>
    <w:rsid w:val="00A27CC8"/>
    <w:rsid w:val="00A27F89"/>
    <w:rsid w:val="00A31394"/>
    <w:rsid w:val="00A3159F"/>
    <w:rsid w:val="00A31FC9"/>
    <w:rsid w:val="00A3380B"/>
    <w:rsid w:val="00A33A70"/>
    <w:rsid w:val="00A3402C"/>
    <w:rsid w:val="00A343EB"/>
    <w:rsid w:val="00A34BEE"/>
    <w:rsid w:val="00A36681"/>
    <w:rsid w:val="00A3735E"/>
    <w:rsid w:val="00A37F6E"/>
    <w:rsid w:val="00A406C7"/>
    <w:rsid w:val="00A41114"/>
    <w:rsid w:val="00A4403D"/>
    <w:rsid w:val="00A44651"/>
    <w:rsid w:val="00A463C0"/>
    <w:rsid w:val="00A46E5B"/>
    <w:rsid w:val="00A50B2C"/>
    <w:rsid w:val="00A50E49"/>
    <w:rsid w:val="00A5166F"/>
    <w:rsid w:val="00A51F89"/>
    <w:rsid w:val="00A52741"/>
    <w:rsid w:val="00A52BF6"/>
    <w:rsid w:val="00A536E2"/>
    <w:rsid w:val="00A5395A"/>
    <w:rsid w:val="00A53E9A"/>
    <w:rsid w:val="00A54F12"/>
    <w:rsid w:val="00A550F4"/>
    <w:rsid w:val="00A56772"/>
    <w:rsid w:val="00A5685A"/>
    <w:rsid w:val="00A56C3E"/>
    <w:rsid w:val="00A56E35"/>
    <w:rsid w:val="00A570E5"/>
    <w:rsid w:val="00A57309"/>
    <w:rsid w:val="00A60CBF"/>
    <w:rsid w:val="00A6106E"/>
    <w:rsid w:val="00A61624"/>
    <w:rsid w:val="00A61A8F"/>
    <w:rsid w:val="00A61B4C"/>
    <w:rsid w:val="00A63659"/>
    <w:rsid w:val="00A63EC4"/>
    <w:rsid w:val="00A6467F"/>
    <w:rsid w:val="00A64E2F"/>
    <w:rsid w:val="00A657C7"/>
    <w:rsid w:val="00A65E42"/>
    <w:rsid w:val="00A668AF"/>
    <w:rsid w:val="00A66908"/>
    <w:rsid w:val="00A6765B"/>
    <w:rsid w:val="00A67EAF"/>
    <w:rsid w:val="00A7169A"/>
    <w:rsid w:val="00A71860"/>
    <w:rsid w:val="00A71AF7"/>
    <w:rsid w:val="00A71E01"/>
    <w:rsid w:val="00A72151"/>
    <w:rsid w:val="00A722E2"/>
    <w:rsid w:val="00A72505"/>
    <w:rsid w:val="00A73262"/>
    <w:rsid w:val="00A73400"/>
    <w:rsid w:val="00A737B5"/>
    <w:rsid w:val="00A73D6F"/>
    <w:rsid w:val="00A73FDD"/>
    <w:rsid w:val="00A747AC"/>
    <w:rsid w:val="00A75DBA"/>
    <w:rsid w:val="00A76167"/>
    <w:rsid w:val="00A76533"/>
    <w:rsid w:val="00A80161"/>
    <w:rsid w:val="00A80469"/>
    <w:rsid w:val="00A81CD6"/>
    <w:rsid w:val="00A81DC2"/>
    <w:rsid w:val="00A82261"/>
    <w:rsid w:val="00A82CD8"/>
    <w:rsid w:val="00A83C69"/>
    <w:rsid w:val="00A85704"/>
    <w:rsid w:val="00A867C7"/>
    <w:rsid w:val="00A86C98"/>
    <w:rsid w:val="00A86F2A"/>
    <w:rsid w:val="00A878A9"/>
    <w:rsid w:val="00A90D3F"/>
    <w:rsid w:val="00A91AEB"/>
    <w:rsid w:val="00A92CEA"/>
    <w:rsid w:val="00A931C7"/>
    <w:rsid w:val="00A93EB6"/>
    <w:rsid w:val="00A95035"/>
    <w:rsid w:val="00A95736"/>
    <w:rsid w:val="00A96792"/>
    <w:rsid w:val="00A9702B"/>
    <w:rsid w:val="00A974B5"/>
    <w:rsid w:val="00A976F7"/>
    <w:rsid w:val="00A9778D"/>
    <w:rsid w:val="00A97EA8"/>
    <w:rsid w:val="00AA00A0"/>
    <w:rsid w:val="00AA00CF"/>
    <w:rsid w:val="00AA0C1A"/>
    <w:rsid w:val="00AA153E"/>
    <w:rsid w:val="00AA1F2B"/>
    <w:rsid w:val="00AA381B"/>
    <w:rsid w:val="00AA3CF9"/>
    <w:rsid w:val="00AA42B6"/>
    <w:rsid w:val="00AA435E"/>
    <w:rsid w:val="00AA4483"/>
    <w:rsid w:val="00AA4806"/>
    <w:rsid w:val="00AA4CEE"/>
    <w:rsid w:val="00AA51E1"/>
    <w:rsid w:val="00AA5637"/>
    <w:rsid w:val="00AA592B"/>
    <w:rsid w:val="00AA61FC"/>
    <w:rsid w:val="00AA62D4"/>
    <w:rsid w:val="00AA6C56"/>
    <w:rsid w:val="00AA7769"/>
    <w:rsid w:val="00AA7CE6"/>
    <w:rsid w:val="00AB0F6B"/>
    <w:rsid w:val="00AB161D"/>
    <w:rsid w:val="00AB1866"/>
    <w:rsid w:val="00AB1886"/>
    <w:rsid w:val="00AB1DD1"/>
    <w:rsid w:val="00AB299F"/>
    <w:rsid w:val="00AB3E3D"/>
    <w:rsid w:val="00AB4574"/>
    <w:rsid w:val="00AB5198"/>
    <w:rsid w:val="00AB5BF7"/>
    <w:rsid w:val="00AB5F9D"/>
    <w:rsid w:val="00AC0ED1"/>
    <w:rsid w:val="00AC258E"/>
    <w:rsid w:val="00AC2CF5"/>
    <w:rsid w:val="00AC35C4"/>
    <w:rsid w:val="00AC3CFB"/>
    <w:rsid w:val="00AC4085"/>
    <w:rsid w:val="00AC40B6"/>
    <w:rsid w:val="00AC456F"/>
    <w:rsid w:val="00AC46E9"/>
    <w:rsid w:val="00AC48FA"/>
    <w:rsid w:val="00AC4BE0"/>
    <w:rsid w:val="00AC509E"/>
    <w:rsid w:val="00AC537B"/>
    <w:rsid w:val="00AC542D"/>
    <w:rsid w:val="00AC5773"/>
    <w:rsid w:val="00AC593E"/>
    <w:rsid w:val="00AC75DA"/>
    <w:rsid w:val="00AC77F3"/>
    <w:rsid w:val="00AC79D9"/>
    <w:rsid w:val="00AD0160"/>
    <w:rsid w:val="00AD1CE5"/>
    <w:rsid w:val="00AD2265"/>
    <w:rsid w:val="00AD253A"/>
    <w:rsid w:val="00AD35BE"/>
    <w:rsid w:val="00AD3E5E"/>
    <w:rsid w:val="00AD432F"/>
    <w:rsid w:val="00AD6BB3"/>
    <w:rsid w:val="00AD6BC3"/>
    <w:rsid w:val="00AD7783"/>
    <w:rsid w:val="00AD77CD"/>
    <w:rsid w:val="00AD7BB4"/>
    <w:rsid w:val="00AE2066"/>
    <w:rsid w:val="00AE23D5"/>
    <w:rsid w:val="00AE34DC"/>
    <w:rsid w:val="00AE35BB"/>
    <w:rsid w:val="00AE3F58"/>
    <w:rsid w:val="00AE3FBB"/>
    <w:rsid w:val="00AE461A"/>
    <w:rsid w:val="00AE5007"/>
    <w:rsid w:val="00AE5112"/>
    <w:rsid w:val="00AE5244"/>
    <w:rsid w:val="00AE5CEB"/>
    <w:rsid w:val="00AE5F79"/>
    <w:rsid w:val="00AE5FE4"/>
    <w:rsid w:val="00AE6FF8"/>
    <w:rsid w:val="00AE7D73"/>
    <w:rsid w:val="00AF13C1"/>
    <w:rsid w:val="00AF13C4"/>
    <w:rsid w:val="00AF15C1"/>
    <w:rsid w:val="00AF1C16"/>
    <w:rsid w:val="00AF2272"/>
    <w:rsid w:val="00AF264A"/>
    <w:rsid w:val="00AF2688"/>
    <w:rsid w:val="00AF2B78"/>
    <w:rsid w:val="00AF2C41"/>
    <w:rsid w:val="00AF32F6"/>
    <w:rsid w:val="00AF336A"/>
    <w:rsid w:val="00AF3559"/>
    <w:rsid w:val="00AF38EC"/>
    <w:rsid w:val="00AF4234"/>
    <w:rsid w:val="00AF42C2"/>
    <w:rsid w:val="00AF431D"/>
    <w:rsid w:val="00AF44EB"/>
    <w:rsid w:val="00AF4DDD"/>
    <w:rsid w:val="00AF5339"/>
    <w:rsid w:val="00AF54D6"/>
    <w:rsid w:val="00AF6D12"/>
    <w:rsid w:val="00AF7283"/>
    <w:rsid w:val="00AF7410"/>
    <w:rsid w:val="00B005E1"/>
    <w:rsid w:val="00B0161F"/>
    <w:rsid w:val="00B01A42"/>
    <w:rsid w:val="00B01B9A"/>
    <w:rsid w:val="00B01D81"/>
    <w:rsid w:val="00B02262"/>
    <w:rsid w:val="00B0440F"/>
    <w:rsid w:val="00B04514"/>
    <w:rsid w:val="00B07642"/>
    <w:rsid w:val="00B10571"/>
    <w:rsid w:val="00B117E6"/>
    <w:rsid w:val="00B11938"/>
    <w:rsid w:val="00B1271F"/>
    <w:rsid w:val="00B13B12"/>
    <w:rsid w:val="00B13D8B"/>
    <w:rsid w:val="00B1484C"/>
    <w:rsid w:val="00B14A03"/>
    <w:rsid w:val="00B15478"/>
    <w:rsid w:val="00B156B3"/>
    <w:rsid w:val="00B15ECD"/>
    <w:rsid w:val="00B1616F"/>
    <w:rsid w:val="00B1782F"/>
    <w:rsid w:val="00B17A93"/>
    <w:rsid w:val="00B20950"/>
    <w:rsid w:val="00B20A8B"/>
    <w:rsid w:val="00B21A94"/>
    <w:rsid w:val="00B221A0"/>
    <w:rsid w:val="00B223D8"/>
    <w:rsid w:val="00B23841"/>
    <w:rsid w:val="00B239B1"/>
    <w:rsid w:val="00B23E40"/>
    <w:rsid w:val="00B242AA"/>
    <w:rsid w:val="00B24F96"/>
    <w:rsid w:val="00B25085"/>
    <w:rsid w:val="00B264A0"/>
    <w:rsid w:val="00B2654C"/>
    <w:rsid w:val="00B2713A"/>
    <w:rsid w:val="00B27343"/>
    <w:rsid w:val="00B27F3D"/>
    <w:rsid w:val="00B27F87"/>
    <w:rsid w:val="00B30496"/>
    <w:rsid w:val="00B3143D"/>
    <w:rsid w:val="00B31962"/>
    <w:rsid w:val="00B31BA5"/>
    <w:rsid w:val="00B3214D"/>
    <w:rsid w:val="00B321A9"/>
    <w:rsid w:val="00B323A7"/>
    <w:rsid w:val="00B32E48"/>
    <w:rsid w:val="00B33E92"/>
    <w:rsid w:val="00B34FF0"/>
    <w:rsid w:val="00B355DB"/>
    <w:rsid w:val="00B35A54"/>
    <w:rsid w:val="00B37AF1"/>
    <w:rsid w:val="00B37DC7"/>
    <w:rsid w:val="00B40D7A"/>
    <w:rsid w:val="00B410D1"/>
    <w:rsid w:val="00B41BA9"/>
    <w:rsid w:val="00B4317D"/>
    <w:rsid w:val="00B4445A"/>
    <w:rsid w:val="00B454F7"/>
    <w:rsid w:val="00B45E05"/>
    <w:rsid w:val="00B4633E"/>
    <w:rsid w:val="00B47418"/>
    <w:rsid w:val="00B47865"/>
    <w:rsid w:val="00B50668"/>
    <w:rsid w:val="00B5066A"/>
    <w:rsid w:val="00B50A94"/>
    <w:rsid w:val="00B513FC"/>
    <w:rsid w:val="00B52E3D"/>
    <w:rsid w:val="00B53831"/>
    <w:rsid w:val="00B53851"/>
    <w:rsid w:val="00B5393A"/>
    <w:rsid w:val="00B53B42"/>
    <w:rsid w:val="00B542FD"/>
    <w:rsid w:val="00B545C0"/>
    <w:rsid w:val="00B547CD"/>
    <w:rsid w:val="00B55C06"/>
    <w:rsid w:val="00B561F7"/>
    <w:rsid w:val="00B56427"/>
    <w:rsid w:val="00B56546"/>
    <w:rsid w:val="00B56613"/>
    <w:rsid w:val="00B56756"/>
    <w:rsid w:val="00B57F4A"/>
    <w:rsid w:val="00B6060F"/>
    <w:rsid w:val="00B61281"/>
    <w:rsid w:val="00B62424"/>
    <w:rsid w:val="00B6336D"/>
    <w:rsid w:val="00B634B8"/>
    <w:rsid w:val="00B63DA8"/>
    <w:rsid w:val="00B641F2"/>
    <w:rsid w:val="00B644DC"/>
    <w:rsid w:val="00B64F28"/>
    <w:rsid w:val="00B653B1"/>
    <w:rsid w:val="00B653FD"/>
    <w:rsid w:val="00B66374"/>
    <w:rsid w:val="00B66B99"/>
    <w:rsid w:val="00B678BB"/>
    <w:rsid w:val="00B70DF2"/>
    <w:rsid w:val="00B70F62"/>
    <w:rsid w:val="00B70FA0"/>
    <w:rsid w:val="00B71249"/>
    <w:rsid w:val="00B713BC"/>
    <w:rsid w:val="00B71E1E"/>
    <w:rsid w:val="00B724B0"/>
    <w:rsid w:val="00B7368D"/>
    <w:rsid w:val="00B74832"/>
    <w:rsid w:val="00B7509B"/>
    <w:rsid w:val="00B75B0B"/>
    <w:rsid w:val="00B760F2"/>
    <w:rsid w:val="00B764C8"/>
    <w:rsid w:val="00B769C2"/>
    <w:rsid w:val="00B76D41"/>
    <w:rsid w:val="00B77279"/>
    <w:rsid w:val="00B77599"/>
    <w:rsid w:val="00B776D5"/>
    <w:rsid w:val="00B81A4F"/>
    <w:rsid w:val="00B81DF8"/>
    <w:rsid w:val="00B83744"/>
    <w:rsid w:val="00B83A50"/>
    <w:rsid w:val="00B83DA7"/>
    <w:rsid w:val="00B8448E"/>
    <w:rsid w:val="00B854F3"/>
    <w:rsid w:val="00B857C1"/>
    <w:rsid w:val="00B87991"/>
    <w:rsid w:val="00B92559"/>
    <w:rsid w:val="00B92A4C"/>
    <w:rsid w:val="00B92C61"/>
    <w:rsid w:val="00B92D47"/>
    <w:rsid w:val="00B94A20"/>
    <w:rsid w:val="00B94B88"/>
    <w:rsid w:val="00B94C2B"/>
    <w:rsid w:val="00B94EE3"/>
    <w:rsid w:val="00B951DB"/>
    <w:rsid w:val="00B953A2"/>
    <w:rsid w:val="00B9664E"/>
    <w:rsid w:val="00B9731D"/>
    <w:rsid w:val="00B97FD5"/>
    <w:rsid w:val="00BA010A"/>
    <w:rsid w:val="00BA0A85"/>
    <w:rsid w:val="00BA0FBF"/>
    <w:rsid w:val="00BA14BD"/>
    <w:rsid w:val="00BA1CF3"/>
    <w:rsid w:val="00BA2146"/>
    <w:rsid w:val="00BA2416"/>
    <w:rsid w:val="00BA2602"/>
    <w:rsid w:val="00BA2E6D"/>
    <w:rsid w:val="00BA433F"/>
    <w:rsid w:val="00BA47AA"/>
    <w:rsid w:val="00BA4EE9"/>
    <w:rsid w:val="00BA511D"/>
    <w:rsid w:val="00BA5167"/>
    <w:rsid w:val="00BA5837"/>
    <w:rsid w:val="00BA5F86"/>
    <w:rsid w:val="00BA6162"/>
    <w:rsid w:val="00BA7587"/>
    <w:rsid w:val="00BA797C"/>
    <w:rsid w:val="00BB0107"/>
    <w:rsid w:val="00BB0EEC"/>
    <w:rsid w:val="00BB1B79"/>
    <w:rsid w:val="00BB2ECA"/>
    <w:rsid w:val="00BB2F3B"/>
    <w:rsid w:val="00BB467E"/>
    <w:rsid w:val="00BB472F"/>
    <w:rsid w:val="00BB4BC0"/>
    <w:rsid w:val="00BB631A"/>
    <w:rsid w:val="00BB686D"/>
    <w:rsid w:val="00BB7178"/>
    <w:rsid w:val="00BB741B"/>
    <w:rsid w:val="00BC0EDF"/>
    <w:rsid w:val="00BC29E7"/>
    <w:rsid w:val="00BC29FB"/>
    <w:rsid w:val="00BC2D20"/>
    <w:rsid w:val="00BC2DF6"/>
    <w:rsid w:val="00BC2EFB"/>
    <w:rsid w:val="00BC321F"/>
    <w:rsid w:val="00BC37B9"/>
    <w:rsid w:val="00BC37E1"/>
    <w:rsid w:val="00BC425D"/>
    <w:rsid w:val="00BC5F0D"/>
    <w:rsid w:val="00BC5F55"/>
    <w:rsid w:val="00BC65F9"/>
    <w:rsid w:val="00BC6822"/>
    <w:rsid w:val="00BC76C1"/>
    <w:rsid w:val="00BC772C"/>
    <w:rsid w:val="00BD057E"/>
    <w:rsid w:val="00BD073D"/>
    <w:rsid w:val="00BD106E"/>
    <w:rsid w:val="00BD2582"/>
    <w:rsid w:val="00BD2BD5"/>
    <w:rsid w:val="00BD331B"/>
    <w:rsid w:val="00BD4737"/>
    <w:rsid w:val="00BD54BE"/>
    <w:rsid w:val="00BD6EF2"/>
    <w:rsid w:val="00BD75BE"/>
    <w:rsid w:val="00BE00CD"/>
    <w:rsid w:val="00BE093D"/>
    <w:rsid w:val="00BE0D5E"/>
    <w:rsid w:val="00BE0F9D"/>
    <w:rsid w:val="00BE2671"/>
    <w:rsid w:val="00BE2C38"/>
    <w:rsid w:val="00BE30BB"/>
    <w:rsid w:val="00BE31CA"/>
    <w:rsid w:val="00BE38FC"/>
    <w:rsid w:val="00BE3A61"/>
    <w:rsid w:val="00BE48EA"/>
    <w:rsid w:val="00BE4DD6"/>
    <w:rsid w:val="00BE5803"/>
    <w:rsid w:val="00BE5D64"/>
    <w:rsid w:val="00BE6386"/>
    <w:rsid w:val="00BE6B83"/>
    <w:rsid w:val="00BE6CB0"/>
    <w:rsid w:val="00BE76CC"/>
    <w:rsid w:val="00BF01E2"/>
    <w:rsid w:val="00BF0A6B"/>
    <w:rsid w:val="00BF13FE"/>
    <w:rsid w:val="00BF140B"/>
    <w:rsid w:val="00BF17B7"/>
    <w:rsid w:val="00BF1EE5"/>
    <w:rsid w:val="00BF1F01"/>
    <w:rsid w:val="00BF2373"/>
    <w:rsid w:val="00BF2A0C"/>
    <w:rsid w:val="00BF38C2"/>
    <w:rsid w:val="00BF3A90"/>
    <w:rsid w:val="00BF43C4"/>
    <w:rsid w:val="00BF4910"/>
    <w:rsid w:val="00BF4E6C"/>
    <w:rsid w:val="00BF5691"/>
    <w:rsid w:val="00BF76B1"/>
    <w:rsid w:val="00BF7F13"/>
    <w:rsid w:val="00C00A5B"/>
    <w:rsid w:val="00C012B8"/>
    <w:rsid w:val="00C0186C"/>
    <w:rsid w:val="00C01898"/>
    <w:rsid w:val="00C021F9"/>
    <w:rsid w:val="00C03529"/>
    <w:rsid w:val="00C03F82"/>
    <w:rsid w:val="00C041B8"/>
    <w:rsid w:val="00C04246"/>
    <w:rsid w:val="00C04A90"/>
    <w:rsid w:val="00C04FCD"/>
    <w:rsid w:val="00C05406"/>
    <w:rsid w:val="00C05820"/>
    <w:rsid w:val="00C05E9A"/>
    <w:rsid w:val="00C05F3B"/>
    <w:rsid w:val="00C067B6"/>
    <w:rsid w:val="00C06B80"/>
    <w:rsid w:val="00C07507"/>
    <w:rsid w:val="00C1016C"/>
    <w:rsid w:val="00C10A57"/>
    <w:rsid w:val="00C119C6"/>
    <w:rsid w:val="00C11E30"/>
    <w:rsid w:val="00C1213A"/>
    <w:rsid w:val="00C12533"/>
    <w:rsid w:val="00C127CF"/>
    <w:rsid w:val="00C12CFD"/>
    <w:rsid w:val="00C1372A"/>
    <w:rsid w:val="00C13FF7"/>
    <w:rsid w:val="00C15E14"/>
    <w:rsid w:val="00C16AB0"/>
    <w:rsid w:val="00C16C50"/>
    <w:rsid w:val="00C1777B"/>
    <w:rsid w:val="00C20072"/>
    <w:rsid w:val="00C20A8D"/>
    <w:rsid w:val="00C21083"/>
    <w:rsid w:val="00C21163"/>
    <w:rsid w:val="00C21957"/>
    <w:rsid w:val="00C21A7F"/>
    <w:rsid w:val="00C21D03"/>
    <w:rsid w:val="00C22E70"/>
    <w:rsid w:val="00C2309B"/>
    <w:rsid w:val="00C23568"/>
    <w:rsid w:val="00C242C4"/>
    <w:rsid w:val="00C24B55"/>
    <w:rsid w:val="00C2502B"/>
    <w:rsid w:val="00C250A9"/>
    <w:rsid w:val="00C25E6F"/>
    <w:rsid w:val="00C262EF"/>
    <w:rsid w:val="00C2671E"/>
    <w:rsid w:val="00C274DF"/>
    <w:rsid w:val="00C3154A"/>
    <w:rsid w:val="00C33A44"/>
    <w:rsid w:val="00C344A4"/>
    <w:rsid w:val="00C3466C"/>
    <w:rsid w:val="00C402E3"/>
    <w:rsid w:val="00C40E79"/>
    <w:rsid w:val="00C41B37"/>
    <w:rsid w:val="00C4250E"/>
    <w:rsid w:val="00C42E13"/>
    <w:rsid w:val="00C44050"/>
    <w:rsid w:val="00C45852"/>
    <w:rsid w:val="00C45F0F"/>
    <w:rsid w:val="00C46130"/>
    <w:rsid w:val="00C47106"/>
    <w:rsid w:val="00C47D9C"/>
    <w:rsid w:val="00C47F9F"/>
    <w:rsid w:val="00C5053C"/>
    <w:rsid w:val="00C50C64"/>
    <w:rsid w:val="00C50D77"/>
    <w:rsid w:val="00C511DF"/>
    <w:rsid w:val="00C529FF"/>
    <w:rsid w:val="00C53119"/>
    <w:rsid w:val="00C53DE5"/>
    <w:rsid w:val="00C5455E"/>
    <w:rsid w:val="00C55267"/>
    <w:rsid w:val="00C5541C"/>
    <w:rsid w:val="00C55661"/>
    <w:rsid w:val="00C56B76"/>
    <w:rsid w:val="00C56D3B"/>
    <w:rsid w:val="00C619EA"/>
    <w:rsid w:val="00C61F45"/>
    <w:rsid w:val="00C63A06"/>
    <w:rsid w:val="00C63B3B"/>
    <w:rsid w:val="00C6468B"/>
    <w:rsid w:val="00C64BAD"/>
    <w:rsid w:val="00C64F48"/>
    <w:rsid w:val="00C650F0"/>
    <w:rsid w:val="00C6551A"/>
    <w:rsid w:val="00C65C37"/>
    <w:rsid w:val="00C663A0"/>
    <w:rsid w:val="00C66E16"/>
    <w:rsid w:val="00C7002D"/>
    <w:rsid w:val="00C7051D"/>
    <w:rsid w:val="00C730BC"/>
    <w:rsid w:val="00C731C4"/>
    <w:rsid w:val="00C73C1B"/>
    <w:rsid w:val="00C745CD"/>
    <w:rsid w:val="00C745DB"/>
    <w:rsid w:val="00C74A00"/>
    <w:rsid w:val="00C74A55"/>
    <w:rsid w:val="00C75684"/>
    <w:rsid w:val="00C75F85"/>
    <w:rsid w:val="00C776A7"/>
    <w:rsid w:val="00C8034A"/>
    <w:rsid w:val="00C80373"/>
    <w:rsid w:val="00C8057D"/>
    <w:rsid w:val="00C80F61"/>
    <w:rsid w:val="00C8150F"/>
    <w:rsid w:val="00C832D8"/>
    <w:rsid w:val="00C83746"/>
    <w:rsid w:val="00C83E51"/>
    <w:rsid w:val="00C84037"/>
    <w:rsid w:val="00C84306"/>
    <w:rsid w:val="00C84984"/>
    <w:rsid w:val="00C85F20"/>
    <w:rsid w:val="00C86E60"/>
    <w:rsid w:val="00C8728F"/>
    <w:rsid w:val="00C87BDC"/>
    <w:rsid w:val="00C87E99"/>
    <w:rsid w:val="00C90821"/>
    <w:rsid w:val="00C90B33"/>
    <w:rsid w:val="00C90BCA"/>
    <w:rsid w:val="00C91858"/>
    <w:rsid w:val="00C92D3F"/>
    <w:rsid w:val="00C92E2F"/>
    <w:rsid w:val="00C934E0"/>
    <w:rsid w:val="00C935D7"/>
    <w:rsid w:val="00C93D15"/>
    <w:rsid w:val="00C94FC9"/>
    <w:rsid w:val="00C950E3"/>
    <w:rsid w:val="00C95FBF"/>
    <w:rsid w:val="00C960CC"/>
    <w:rsid w:val="00C9615C"/>
    <w:rsid w:val="00C96563"/>
    <w:rsid w:val="00C97271"/>
    <w:rsid w:val="00C975F8"/>
    <w:rsid w:val="00C97684"/>
    <w:rsid w:val="00C979AC"/>
    <w:rsid w:val="00CA1DD4"/>
    <w:rsid w:val="00CA21CA"/>
    <w:rsid w:val="00CA25D0"/>
    <w:rsid w:val="00CA2778"/>
    <w:rsid w:val="00CA295A"/>
    <w:rsid w:val="00CA2E11"/>
    <w:rsid w:val="00CA3BC4"/>
    <w:rsid w:val="00CA4544"/>
    <w:rsid w:val="00CA4862"/>
    <w:rsid w:val="00CA57BB"/>
    <w:rsid w:val="00CA7815"/>
    <w:rsid w:val="00CA7A42"/>
    <w:rsid w:val="00CA7FDB"/>
    <w:rsid w:val="00CB0DEB"/>
    <w:rsid w:val="00CB17B0"/>
    <w:rsid w:val="00CB2322"/>
    <w:rsid w:val="00CB30A3"/>
    <w:rsid w:val="00CB3C2C"/>
    <w:rsid w:val="00CB45E0"/>
    <w:rsid w:val="00CB4DA4"/>
    <w:rsid w:val="00CB4EA1"/>
    <w:rsid w:val="00CB5CD4"/>
    <w:rsid w:val="00CB63E6"/>
    <w:rsid w:val="00CB76C9"/>
    <w:rsid w:val="00CC0DE2"/>
    <w:rsid w:val="00CC1382"/>
    <w:rsid w:val="00CC1A7B"/>
    <w:rsid w:val="00CC1C27"/>
    <w:rsid w:val="00CC2098"/>
    <w:rsid w:val="00CC245E"/>
    <w:rsid w:val="00CC2A11"/>
    <w:rsid w:val="00CC2D89"/>
    <w:rsid w:val="00CC3267"/>
    <w:rsid w:val="00CC3AF3"/>
    <w:rsid w:val="00CC41A5"/>
    <w:rsid w:val="00CC5C89"/>
    <w:rsid w:val="00CC5D59"/>
    <w:rsid w:val="00CC74B2"/>
    <w:rsid w:val="00CC7A5C"/>
    <w:rsid w:val="00CD11A4"/>
    <w:rsid w:val="00CD1482"/>
    <w:rsid w:val="00CD275D"/>
    <w:rsid w:val="00CD3273"/>
    <w:rsid w:val="00CD3DFF"/>
    <w:rsid w:val="00CD4AEF"/>
    <w:rsid w:val="00CD4E73"/>
    <w:rsid w:val="00CD5815"/>
    <w:rsid w:val="00CD5B1E"/>
    <w:rsid w:val="00CD70CE"/>
    <w:rsid w:val="00CD778B"/>
    <w:rsid w:val="00CE0E76"/>
    <w:rsid w:val="00CE1F41"/>
    <w:rsid w:val="00CE2665"/>
    <w:rsid w:val="00CE26ED"/>
    <w:rsid w:val="00CE2A1C"/>
    <w:rsid w:val="00CE3900"/>
    <w:rsid w:val="00CE422F"/>
    <w:rsid w:val="00CE43AC"/>
    <w:rsid w:val="00CE44AA"/>
    <w:rsid w:val="00CE485D"/>
    <w:rsid w:val="00CE4DBF"/>
    <w:rsid w:val="00CF0000"/>
    <w:rsid w:val="00CF023E"/>
    <w:rsid w:val="00CF0D87"/>
    <w:rsid w:val="00CF11D0"/>
    <w:rsid w:val="00CF17AA"/>
    <w:rsid w:val="00CF17FF"/>
    <w:rsid w:val="00CF290D"/>
    <w:rsid w:val="00CF2B97"/>
    <w:rsid w:val="00CF2C21"/>
    <w:rsid w:val="00CF2C71"/>
    <w:rsid w:val="00CF3100"/>
    <w:rsid w:val="00CF31D0"/>
    <w:rsid w:val="00CF4781"/>
    <w:rsid w:val="00CF4AA9"/>
    <w:rsid w:val="00CF5205"/>
    <w:rsid w:val="00CF62BA"/>
    <w:rsid w:val="00CF6866"/>
    <w:rsid w:val="00CF72CB"/>
    <w:rsid w:val="00CF73AC"/>
    <w:rsid w:val="00CF79D5"/>
    <w:rsid w:val="00D01237"/>
    <w:rsid w:val="00D015DA"/>
    <w:rsid w:val="00D01F22"/>
    <w:rsid w:val="00D0227D"/>
    <w:rsid w:val="00D026D4"/>
    <w:rsid w:val="00D02FC6"/>
    <w:rsid w:val="00D032E5"/>
    <w:rsid w:val="00D035A5"/>
    <w:rsid w:val="00D0486B"/>
    <w:rsid w:val="00D049C3"/>
    <w:rsid w:val="00D054F1"/>
    <w:rsid w:val="00D06D32"/>
    <w:rsid w:val="00D07A4F"/>
    <w:rsid w:val="00D102DA"/>
    <w:rsid w:val="00D118D3"/>
    <w:rsid w:val="00D12592"/>
    <w:rsid w:val="00D1298D"/>
    <w:rsid w:val="00D12D9F"/>
    <w:rsid w:val="00D12E1C"/>
    <w:rsid w:val="00D13483"/>
    <w:rsid w:val="00D134FF"/>
    <w:rsid w:val="00D137AB"/>
    <w:rsid w:val="00D13F1F"/>
    <w:rsid w:val="00D14783"/>
    <w:rsid w:val="00D1582A"/>
    <w:rsid w:val="00D1601C"/>
    <w:rsid w:val="00D20849"/>
    <w:rsid w:val="00D21667"/>
    <w:rsid w:val="00D216F1"/>
    <w:rsid w:val="00D217AD"/>
    <w:rsid w:val="00D21B92"/>
    <w:rsid w:val="00D22B15"/>
    <w:rsid w:val="00D2316D"/>
    <w:rsid w:val="00D23D1B"/>
    <w:rsid w:val="00D24D42"/>
    <w:rsid w:val="00D2615D"/>
    <w:rsid w:val="00D27DD7"/>
    <w:rsid w:val="00D303A3"/>
    <w:rsid w:val="00D30469"/>
    <w:rsid w:val="00D31107"/>
    <w:rsid w:val="00D31993"/>
    <w:rsid w:val="00D31ADE"/>
    <w:rsid w:val="00D31D71"/>
    <w:rsid w:val="00D3266A"/>
    <w:rsid w:val="00D32884"/>
    <w:rsid w:val="00D3420F"/>
    <w:rsid w:val="00D371F3"/>
    <w:rsid w:val="00D3733D"/>
    <w:rsid w:val="00D37B43"/>
    <w:rsid w:val="00D40F10"/>
    <w:rsid w:val="00D428A4"/>
    <w:rsid w:val="00D429D3"/>
    <w:rsid w:val="00D42D3C"/>
    <w:rsid w:val="00D437E6"/>
    <w:rsid w:val="00D444B0"/>
    <w:rsid w:val="00D44ED2"/>
    <w:rsid w:val="00D45140"/>
    <w:rsid w:val="00D45449"/>
    <w:rsid w:val="00D45AE6"/>
    <w:rsid w:val="00D45F1E"/>
    <w:rsid w:val="00D461C0"/>
    <w:rsid w:val="00D462AF"/>
    <w:rsid w:val="00D46635"/>
    <w:rsid w:val="00D46C9F"/>
    <w:rsid w:val="00D51005"/>
    <w:rsid w:val="00D518A1"/>
    <w:rsid w:val="00D51914"/>
    <w:rsid w:val="00D51E6A"/>
    <w:rsid w:val="00D522F1"/>
    <w:rsid w:val="00D53400"/>
    <w:rsid w:val="00D541C3"/>
    <w:rsid w:val="00D54A6F"/>
    <w:rsid w:val="00D552B2"/>
    <w:rsid w:val="00D5593D"/>
    <w:rsid w:val="00D55AF9"/>
    <w:rsid w:val="00D55DC7"/>
    <w:rsid w:val="00D56DA1"/>
    <w:rsid w:val="00D61467"/>
    <w:rsid w:val="00D6239A"/>
    <w:rsid w:val="00D62A32"/>
    <w:rsid w:val="00D630FF"/>
    <w:rsid w:val="00D6343D"/>
    <w:rsid w:val="00D63C66"/>
    <w:rsid w:val="00D64001"/>
    <w:rsid w:val="00D65035"/>
    <w:rsid w:val="00D65285"/>
    <w:rsid w:val="00D6556D"/>
    <w:rsid w:val="00D658D2"/>
    <w:rsid w:val="00D65D53"/>
    <w:rsid w:val="00D65EBC"/>
    <w:rsid w:val="00D668F7"/>
    <w:rsid w:val="00D66C63"/>
    <w:rsid w:val="00D67120"/>
    <w:rsid w:val="00D671E5"/>
    <w:rsid w:val="00D67340"/>
    <w:rsid w:val="00D70A2B"/>
    <w:rsid w:val="00D728FD"/>
    <w:rsid w:val="00D740A2"/>
    <w:rsid w:val="00D7516D"/>
    <w:rsid w:val="00D75C58"/>
    <w:rsid w:val="00D75E1B"/>
    <w:rsid w:val="00D7642F"/>
    <w:rsid w:val="00D76BA5"/>
    <w:rsid w:val="00D76F86"/>
    <w:rsid w:val="00D774D3"/>
    <w:rsid w:val="00D77756"/>
    <w:rsid w:val="00D8037C"/>
    <w:rsid w:val="00D817E9"/>
    <w:rsid w:val="00D82B56"/>
    <w:rsid w:val="00D83018"/>
    <w:rsid w:val="00D837C9"/>
    <w:rsid w:val="00D83A04"/>
    <w:rsid w:val="00D84CA3"/>
    <w:rsid w:val="00D85AA4"/>
    <w:rsid w:val="00D85EC6"/>
    <w:rsid w:val="00D86D77"/>
    <w:rsid w:val="00D86F61"/>
    <w:rsid w:val="00D9080E"/>
    <w:rsid w:val="00D90BBE"/>
    <w:rsid w:val="00D92F46"/>
    <w:rsid w:val="00D931FA"/>
    <w:rsid w:val="00D93D6F"/>
    <w:rsid w:val="00D9404C"/>
    <w:rsid w:val="00D942C3"/>
    <w:rsid w:val="00D94797"/>
    <w:rsid w:val="00D9535F"/>
    <w:rsid w:val="00D954FA"/>
    <w:rsid w:val="00D957BD"/>
    <w:rsid w:val="00D95B54"/>
    <w:rsid w:val="00D966FB"/>
    <w:rsid w:val="00D97350"/>
    <w:rsid w:val="00D973B5"/>
    <w:rsid w:val="00DA0884"/>
    <w:rsid w:val="00DA0EF0"/>
    <w:rsid w:val="00DA2776"/>
    <w:rsid w:val="00DA34D8"/>
    <w:rsid w:val="00DA3655"/>
    <w:rsid w:val="00DA5A57"/>
    <w:rsid w:val="00DA5C58"/>
    <w:rsid w:val="00DA6247"/>
    <w:rsid w:val="00DA63A7"/>
    <w:rsid w:val="00DA7836"/>
    <w:rsid w:val="00DA7AEA"/>
    <w:rsid w:val="00DA7CA7"/>
    <w:rsid w:val="00DB1253"/>
    <w:rsid w:val="00DB1483"/>
    <w:rsid w:val="00DB17B9"/>
    <w:rsid w:val="00DB254A"/>
    <w:rsid w:val="00DB2B78"/>
    <w:rsid w:val="00DB2D72"/>
    <w:rsid w:val="00DB2E08"/>
    <w:rsid w:val="00DB3B85"/>
    <w:rsid w:val="00DB404D"/>
    <w:rsid w:val="00DB4765"/>
    <w:rsid w:val="00DB4F94"/>
    <w:rsid w:val="00DB5413"/>
    <w:rsid w:val="00DB6BE0"/>
    <w:rsid w:val="00DB7A57"/>
    <w:rsid w:val="00DB7F02"/>
    <w:rsid w:val="00DC13FD"/>
    <w:rsid w:val="00DC1C49"/>
    <w:rsid w:val="00DC25B8"/>
    <w:rsid w:val="00DC25E9"/>
    <w:rsid w:val="00DC2632"/>
    <w:rsid w:val="00DC2E97"/>
    <w:rsid w:val="00DC3549"/>
    <w:rsid w:val="00DC4204"/>
    <w:rsid w:val="00DC4D05"/>
    <w:rsid w:val="00DC5C8E"/>
    <w:rsid w:val="00DC602B"/>
    <w:rsid w:val="00DC6937"/>
    <w:rsid w:val="00DC77BE"/>
    <w:rsid w:val="00DC7C22"/>
    <w:rsid w:val="00DD00E3"/>
    <w:rsid w:val="00DD038F"/>
    <w:rsid w:val="00DD0DFD"/>
    <w:rsid w:val="00DD1AE6"/>
    <w:rsid w:val="00DD2834"/>
    <w:rsid w:val="00DD345A"/>
    <w:rsid w:val="00DD3A55"/>
    <w:rsid w:val="00DD3F6F"/>
    <w:rsid w:val="00DD4C4D"/>
    <w:rsid w:val="00DD522C"/>
    <w:rsid w:val="00DD5529"/>
    <w:rsid w:val="00DD5BCE"/>
    <w:rsid w:val="00DD6A70"/>
    <w:rsid w:val="00DD73FC"/>
    <w:rsid w:val="00DD7755"/>
    <w:rsid w:val="00DD7CF0"/>
    <w:rsid w:val="00DE0778"/>
    <w:rsid w:val="00DE0867"/>
    <w:rsid w:val="00DE129C"/>
    <w:rsid w:val="00DE135B"/>
    <w:rsid w:val="00DE1736"/>
    <w:rsid w:val="00DE1FF5"/>
    <w:rsid w:val="00DE2B05"/>
    <w:rsid w:val="00DE3497"/>
    <w:rsid w:val="00DE487E"/>
    <w:rsid w:val="00DE618D"/>
    <w:rsid w:val="00DE64BB"/>
    <w:rsid w:val="00DE6952"/>
    <w:rsid w:val="00DE72CA"/>
    <w:rsid w:val="00DF0C7B"/>
    <w:rsid w:val="00DF26EA"/>
    <w:rsid w:val="00DF2A12"/>
    <w:rsid w:val="00DF3D2D"/>
    <w:rsid w:val="00DF4605"/>
    <w:rsid w:val="00DF4C0E"/>
    <w:rsid w:val="00DF4EB3"/>
    <w:rsid w:val="00DF5084"/>
    <w:rsid w:val="00DF5370"/>
    <w:rsid w:val="00DF5CD4"/>
    <w:rsid w:val="00DF7626"/>
    <w:rsid w:val="00E0093C"/>
    <w:rsid w:val="00E018E6"/>
    <w:rsid w:val="00E01CE5"/>
    <w:rsid w:val="00E021E0"/>
    <w:rsid w:val="00E023CE"/>
    <w:rsid w:val="00E026E7"/>
    <w:rsid w:val="00E02CC6"/>
    <w:rsid w:val="00E030B1"/>
    <w:rsid w:val="00E031C8"/>
    <w:rsid w:val="00E035D8"/>
    <w:rsid w:val="00E03C9A"/>
    <w:rsid w:val="00E0484E"/>
    <w:rsid w:val="00E04E29"/>
    <w:rsid w:val="00E050BC"/>
    <w:rsid w:val="00E05520"/>
    <w:rsid w:val="00E0666B"/>
    <w:rsid w:val="00E0692F"/>
    <w:rsid w:val="00E06D77"/>
    <w:rsid w:val="00E06F26"/>
    <w:rsid w:val="00E07440"/>
    <w:rsid w:val="00E0763C"/>
    <w:rsid w:val="00E10901"/>
    <w:rsid w:val="00E109A8"/>
    <w:rsid w:val="00E10D38"/>
    <w:rsid w:val="00E11B76"/>
    <w:rsid w:val="00E11E9A"/>
    <w:rsid w:val="00E1454B"/>
    <w:rsid w:val="00E14552"/>
    <w:rsid w:val="00E146BB"/>
    <w:rsid w:val="00E14967"/>
    <w:rsid w:val="00E14CFF"/>
    <w:rsid w:val="00E15785"/>
    <w:rsid w:val="00E15AEB"/>
    <w:rsid w:val="00E1627D"/>
    <w:rsid w:val="00E16AF4"/>
    <w:rsid w:val="00E16BD5"/>
    <w:rsid w:val="00E17D63"/>
    <w:rsid w:val="00E20247"/>
    <w:rsid w:val="00E20736"/>
    <w:rsid w:val="00E20FF3"/>
    <w:rsid w:val="00E226ED"/>
    <w:rsid w:val="00E240B2"/>
    <w:rsid w:val="00E240FF"/>
    <w:rsid w:val="00E2426D"/>
    <w:rsid w:val="00E24400"/>
    <w:rsid w:val="00E257B7"/>
    <w:rsid w:val="00E26299"/>
    <w:rsid w:val="00E26539"/>
    <w:rsid w:val="00E27697"/>
    <w:rsid w:val="00E27984"/>
    <w:rsid w:val="00E27E17"/>
    <w:rsid w:val="00E30AF6"/>
    <w:rsid w:val="00E30DBE"/>
    <w:rsid w:val="00E3543C"/>
    <w:rsid w:val="00E36736"/>
    <w:rsid w:val="00E36785"/>
    <w:rsid w:val="00E369A6"/>
    <w:rsid w:val="00E36C92"/>
    <w:rsid w:val="00E4046D"/>
    <w:rsid w:val="00E40A62"/>
    <w:rsid w:val="00E4201E"/>
    <w:rsid w:val="00E44989"/>
    <w:rsid w:val="00E44ECB"/>
    <w:rsid w:val="00E4532C"/>
    <w:rsid w:val="00E45A5A"/>
    <w:rsid w:val="00E46F02"/>
    <w:rsid w:val="00E4710F"/>
    <w:rsid w:val="00E47289"/>
    <w:rsid w:val="00E47A42"/>
    <w:rsid w:val="00E500FA"/>
    <w:rsid w:val="00E5278A"/>
    <w:rsid w:val="00E52CEC"/>
    <w:rsid w:val="00E53AD1"/>
    <w:rsid w:val="00E53D23"/>
    <w:rsid w:val="00E5408A"/>
    <w:rsid w:val="00E54C61"/>
    <w:rsid w:val="00E5567E"/>
    <w:rsid w:val="00E55E45"/>
    <w:rsid w:val="00E56D95"/>
    <w:rsid w:val="00E571F7"/>
    <w:rsid w:val="00E5768E"/>
    <w:rsid w:val="00E601B9"/>
    <w:rsid w:val="00E603A9"/>
    <w:rsid w:val="00E614EA"/>
    <w:rsid w:val="00E6228B"/>
    <w:rsid w:val="00E62F05"/>
    <w:rsid w:val="00E630AE"/>
    <w:rsid w:val="00E63A9E"/>
    <w:rsid w:val="00E64E9F"/>
    <w:rsid w:val="00E651DF"/>
    <w:rsid w:val="00E656F8"/>
    <w:rsid w:val="00E65ED7"/>
    <w:rsid w:val="00E66DAB"/>
    <w:rsid w:val="00E66DD9"/>
    <w:rsid w:val="00E7096C"/>
    <w:rsid w:val="00E717A7"/>
    <w:rsid w:val="00E7181A"/>
    <w:rsid w:val="00E71B10"/>
    <w:rsid w:val="00E71E26"/>
    <w:rsid w:val="00E72226"/>
    <w:rsid w:val="00E73004"/>
    <w:rsid w:val="00E73CE4"/>
    <w:rsid w:val="00E74A24"/>
    <w:rsid w:val="00E753D2"/>
    <w:rsid w:val="00E75676"/>
    <w:rsid w:val="00E75E03"/>
    <w:rsid w:val="00E75FCB"/>
    <w:rsid w:val="00E76E11"/>
    <w:rsid w:val="00E8215A"/>
    <w:rsid w:val="00E82889"/>
    <w:rsid w:val="00E82FFF"/>
    <w:rsid w:val="00E836CC"/>
    <w:rsid w:val="00E83D48"/>
    <w:rsid w:val="00E844C1"/>
    <w:rsid w:val="00E847C7"/>
    <w:rsid w:val="00E86204"/>
    <w:rsid w:val="00E86B1C"/>
    <w:rsid w:val="00E86F27"/>
    <w:rsid w:val="00E87749"/>
    <w:rsid w:val="00E878C7"/>
    <w:rsid w:val="00E8798B"/>
    <w:rsid w:val="00E87DBD"/>
    <w:rsid w:val="00E90376"/>
    <w:rsid w:val="00E9208C"/>
    <w:rsid w:val="00E946F2"/>
    <w:rsid w:val="00E94BE2"/>
    <w:rsid w:val="00E95D08"/>
    <w:rsid w:val="00E95E4E"/>
    <w:rsid w:val="00E97895"/>
    <w:rsid w:val="00EA107C"/>
    <w:rsid w:val="00EA342D"/>
    <w:rsid w:val="00EA68C3"/>
    <w:rsid w:val="00EA6F01"/>
    <w:rsid w:val="00EA70D5"/>
    <w:rsid w:val="00EA7DB0"/>
    <w:rsid w:val="00EA7EEE"/>
    <w:rsid w:val="00EB00DF"/>
    <w:rsid w:val="00EB248E"/>
    <w:rsid w:val="00EB3E6C"/>
    <w:rsid w:val="00EB3EBE"/>
    <w:rsid w:val="00EB409D"/>
    <w:rsid w:val="00EB4DDA"/>
    <w:rsid w:val="00EB6414"/>
    <w:rsid w:val="00EB68C6"/>
    <w:rsid w:val="00EB6DA1"/>
    <w:rsid w:val="00EB6F88"/>
    <w:rsid w:val="00EB7877"/>
    <w:rsid w:val="00EC059A"/>
    <w:rsid w:val="00EC09EA"/>
    <w:rsid w:val="00EC0B64"/>
    <w:rsid w:val="00EC2DC2"/>
    <w:rsid w:val="00EC3258"/>
    <w:rsid w:val="00EC380C"/>
    <w:rsid w:val="00EC3B49"/>
    <w:rsid w:val="00EC3FA7"/>
    <w:rsid w:val="00EC5420"/>
    <w:rsid w:val="00EC56C4"/>
    <w:rsid w:val="00EC56C8"/>
    <w:rsid w:val="00EC7F85"/>
    <w:rsid w:val="00ED07A7"/>
    <w:rsid w:val="00ED0BDF"/>
    <w:rsid w:val="00ED1747"/>
    <w:rsid w:val="00ED2403"/>
    <w:rsid w:val="00ED24EC"/>
    <w:rsid w:val="00ED2BF6"/>
    <w:rsid w:val="00ED3066"/>
    <w:rsid w:val="00ED310E"/>
    <w:rsid w:val="00ED31D7"/>
    <w:rsid w:val="00ED379B"/>
    <w:rsid w:val="00ED3E1C"/>
    <w:rsid w:val="00ED3EC3"/>
    <w:rsid w:val="00ED43C2"/>
    <w:rsid w:val="00ED5010"/>
    <w:rsid w:val="00ED544F"/>
    <w:rsid w:val="00ED57B5"/>
    <w:rsid w:val="00ED6A23"/>
    <w:rsid w:val="00EE0356"/>
    <w:rsid w:val="00EE0D99"/>
    <w:rsid w:val="00EE222B"/>
    <w:rsid w:val="00EE29B6"/>
    <w:rsid w:val="00EE4BED"/>
    <w:rsid w:val="00EE538B"/>
    <w:rsid w:val="00EE78DC"/>
    <w:rsid w:val="00EE7D0D"/>
    <w:rsid w:val="00EE7FDA"/>
    <w:rsid w:val="00EF00C0"/>
    <w:rsid w:val="00EF062E"/>
    <w:rsid w:val="00EF0906"/>
    <w:rsid w:val="00EF10E2"/>
    <w:rsid w:val="00EF2D3A"/>
    <w:rsid w:val="00EF2E35"/>
    <w:rsid w:val="00EF3B6E"/>
    <w:rsid w:val="00EF5941"/>
    <w:rsid w:val="00EF67E1"/>
    <w:rsid w:val="00F00636"/>
    <w:rsid w:val="00F006EF"/>
    <w:rsid w:val="00F00B43"/>
    <w:rsid w:val="00F00CFB"/>
    <w:rsid w:val="00F02B3B"/>
    <w:rsid w:val="00F03146"/>
    <w:rsid w:val="00F0360C"/>
    <w:rsid w:val="00F0382B"/>
    <w:rsid w:val="00F03EFD"/>
    <w:rsid w:val="00F03FCF"/>
    <w:rsid w:val="00F041A6"/>
    <w:rsid w:val="00F04555"/>
    <w:rsid w:val="00F056D5"/>
    <w:rsid w:val="00F05707"/>
    <w:rsid w:val="00F05F15"/>
    <w:rsid w:val="00F06D13"/>
    <w:rsid w:val="00F07A38"/>
    <w:rsid w:val="00F10800"/>
    <w:rsid w:val="00F11390"/>
    <w:rsid w:val="00F11E4F"/>
    <w:rsid w:val="00F122AE"/>
    <w:rsid w:val="00F14051"/>
    <w:rsid w:val="00F1469E"/>
    <w:rsid w:val="00F157A2"/>
    <w:rsid w:val="00F16590"/>
    <w:rsid w:val="00F16AA9"/>
    <w:rsid w:val="00F16FBA"/>
    <w:rsid w:val="00F171AC"/>
    <w:rsid w:val="00F1774E"/>
    <w:rsid w:val="00F178A5"/>
    <w:rsid w:val="00F20051"/>
    <w:rsid w:val="00F210E8"/>
    <w:rsid w:val="00F2113A"/>
    <w:rsid w:val="00F2114D"/>
    <w:rsid w:val="00F221F0"/>
    <w:rsid w:val="00F23949"/>
    <w:rsid w:val="00F25C6E"/>
    <w:rsid w:val="00F26470"/>
    <w:rsid w:val="00F26693"/>
    <w:rsid w:val="00F26ED6"/>
    <w:rsid w:val="00F3004C"/>
    <w:rsid w:val="00F3041C"/>
    <w:rsid w:val="00F30561"/>
    <w:rsid w:val="00F30BA7"/>
    <w:rsid w:val="00F30D3D"/>
    <w:rsid w:val="00F31673"/>
    <w:rsid w:val="00F321C5"/>
    <w:rsid w:val="00F325B0"/>
    <w:rsid w:val="00F34693"/>
    <w:rsid w:val="00F346AF"/>
    <w:rsid w:val="00F3470F"/>
    <w:rsid w:val="00F34710"/>
    <w:rsid w:val="00F37614"/>
    <w:rsid w:val="00F42287"/>
    <w:rsid w:val="00F430DD"/>
    <w:rsid w:val="00F43C13"/>
    <w:rsid w:val="00F44B2F"/>
    <w:rsid w:val="00F44BA8"/>
    <w:rsid w:val="00F45A09"/>
    <w:rsid w:val="00F4604F"/>
    <w:rsid w:val="00F4732A"/>
    <w:rsid w:val="00F4758B"/>
    <w:rsid w:val="00F4773F"/>
    <w:rsid w:val="00F50548"/>
    <w:rsid w:val="00F50920"/>
    <w:rsid w:val="00F516FA"/>
    <w:rsid w:val="00F5177A"/>
    <w:rsid w:val="00F5179D"/>
    <w:rsid w:val="00F5199F"/>
    <w:rsid w:val="00F51EBE"/>
    <w:rsid w:val="00F528FC"/>
    <w:rsid w:val="00F5314B"/>
    <w:rsid w:val="00F53833"/>
    <w:rsid w:val="00F544D5"/>
    <w:rsid w:val="00F54583"/>
    <w:rsid w:val="00F54F67"/>
    <w:rsid w:val="00F57B13"/>
    <w:rsid w:val="00F57BB5"/>
    <w:rsid w:val="00F62189"/>
    <w:rsid w:val="00F62CB6"/>
    <w:rsid w:val="00F634BE"/>
    <w:rsid w:val="00F63A28"/>
    <w:rsid w:val="00F63FD5"/>
    <w:rsid w:val="00F6466E"/>
    <w:rsid w:val="00F6548E"/>
    <w:rsid w:val="00F66848"/>
    <w:rsid w:val="00F66FFC"/>
    <w:rsid w:val="00F6794F"/>
    <w:rsid w:val="00F67A84"/>
    <w:rsid w:val="00F67EE0"/>
    <w:rsid w:val="00F713B4"/>
    <w:rsid w:val="00F71F10"/>
    <w:rsid w:val="00F72D48"/>
    <w:rsid w:val="00F7308A"/>
    <w:rsid w:val="00F73CD0"/>
    <w:rsid w:val="00F73E35"/>
    <w:rsid w:val="00F74750"/>
    <w:rsid w:val="00F747ED"/>
    <w:rsid w:val="00F74E91"/>
    <w:rsid w:val="00F74FDD"/>
    <w:rsid w:val="00F765EA"/>
    <w:rsid w:val="00F76B00"/>
    <w:rsid w:val="00F804B6"/>
    <w:rsid w:val="00F80622"/>
    <w:rsid w:val="00F81207"/>
    <w:rsid w:val="00F815D3"/>
    <w:rsid w:val="00F817F7"/>
    <w:rsid w:val="00F82800"/>
    <w:rsid w:val="00F82D6B"/>
    <w:rsid w:val="00F8384A"/>
    <w:rsid w:val="00F85944"/>
    <w:rsid w:val="00F85BD5"/>
    <w:rsid w:val="00F85F1F"/>
    <w:rsid w:val="00F86240"/>
    <w:rsid w:val="00F877F8"/>
    <w:rsid w:val="00F87B9C"/>
    <w:rsid w:val="00F87DBC"/>
    <w:rsid w:val="00F9061A"/>
    <w:rsid w:val="00F90BCB"/>
    <w:rsid w:val="00F90F29"/>
    <w:rsid w:val="00F91FB1"/>
    <w:rsid w:val="00F921CC"/>
    <w:rsid w:val="00F9266A"/>
    <w:rsid w:val="00F92C02"/>
    <w:rsid w:val="00F93EDE"/>
    <w:rsid w:val="00F972AE"/>
    <w:rsid w:val="00F974CB"/>
    <w:rsid w:val="00F9776A"/>
    <w:rsid w:val="00F9788E"/>
    <w:rsid w:val="00F97AEB"/>
    <w:rsid w:val="00FA047A"/>
    <w:rsid w:val="00FA0A70"/>
    <w:rsid w:val="00FA0B81"/>
    <w:rsid w:val="00FA1352"/>
    <w:rsid w:val="00FA1E3A"/>
    <w:rsid w:val="00FA2247"/>
    <w:rsid w:val="00FA3B1F"/>
    <w:rsid w:val="00FA3C1A"/>
    <w:rsid w:val="00FA4405"/>
    <w:rsid w:val="00FA4672"/>
    <w:rsid w:val="00FA49A0"/>
    <w:rsid w:val="00FA5F2C"/>
    <w:rsid w:val="00FA64B7"/>
    <w:rsid w:val="00FA79A4"/>
    <w:rsid w:val="00FA7D58"/>
    <w:rsid w:val="00FA7F65"/>
    <w:rsid w:val="00FB042D"/>
    <w:rsid w:val="00FB1BE4"/>
    <w:rsid w:val="00FB2758"/>
    <w:rsid w:val="00FB2EA6"/>
    <w:rsid w:val="00FB38CD"/>
    <w:rsid w:val="00FB41B3"/>
    <w:rsid w:val="00FB46AC"/>
    <w:rsid w:val="00FB4B29"/>
    <w:rsid w:val="00FB5DD6"/>
    <w:rsid w:val="00FB60C5"/>
    <w:rsid w:val="00FB60D0"/>
    <w:rsid w:val="00FB6AEA"/>
    <w:rsid w:val="00FB6AFF"/>
    <w:rsid w:val="00FB707F"/>
    <w:rsid w:val="00FC032E"/>
    <w:rsid w:val="00FC0EFF"/>
    <w:rsid w:val="00FC11ED"/>
    <w:rsid w:val="00FC1BE5"/>
    <w:rsid w:val="00FC325F"/>
    <w:rsid w:val="00FC3647"/>
    <w:rsid w:val="00FC4514"/>
    <w:rsid w:val="00FC4922"/>
    <w:rsid w:val="00FC55C6"/>
    <w:rsid w:val="00FC55F2"/>
    <w:rsid w:val="00FC5908"/>
    <w:rsid w:val="00FC5C88"/>
    <w:rsid w:val="00FC6E27"/>
    <w:rsid w:val="00FC74D0"/>
    <w:rsid w:val="00FC76E3"/>
    <w:rsid w:val="00FC79F3"/>
    <w:rsid w:val="00FD03DD"/>
    <w:rsid w:val="00FD1788"/>
    <w:rsid w:val="00FD17FE"/>
    <w:rsid w:val="00FD2497"/>
    <w:rsid w:val="00FD5142"/>
    <w:rsid w:val="00FD5C35"/>
    <w:rsid w:val="00FD5D1E"/>
    <w:rsid w:val="00FD61B1"/>
    <w:rsid w:val="00FD6F49"/>
    <w:rsid w:val="00FE027E"/>
    <w:rsid w:val="00FE098C"/>
    <w:rsid w:val="00FE0994"/>
    <w:rsid w:val="00FE24F2"/>
    <w:rsid w:val="00FE3972"/>
    <w:rsid w:val="00FE45D3"/>
    <w:rsid w:val="00FE5A31"/>
    <w:rsid w:val="00FE5AC0"/>
    <w:rsid w:val="00FE6106"/>
    <w:rsid w:val="00FE773B"/>
    <w:rsid w:val="00FF01CB"/>
    <w:rsid w:val="00FF2DA1"/>
    <w:rsid w:val="00FF311C"/>
    <w:rsid w:val="00FF34F2"/>
    <w:rsid w:val="00FF3B86"/>
    <w:rsid w:val="00FF5395"/>
    <w:rsid w:val="00FF5436"/>
    <w:rsid w:val="00FF54BF"/>
    <w:rsid w:val="00FF5784"/>
    <w:rsid w:val="00FF57A9"/>
    <w:rsid w:val="00FF6466"/>
    <w:rsid w:val="00FF7414"/>
    <w:rsid w:val="00FF7A32"/>
    <w:rsid w:val="00FF7CB4"/>
    <w:rsid w:val="012B0DF9"/>
    <w:rsid w:val="0159179E"/>
    <w:rsid w:val="018C21A5"/>
    <w:rsid w:val="018D04A3"/>
    <w:rsid w:val="02B052EA"/>
    <w:rsid w:val="02B41485"/>
    <w:rsid w:val="02C63FB3"/>
    <w:rsid w:val="036337F0"/>
    <w:rsid w:val="03E6267B"/>
    <w:rsid w:val="043C03FD"/>
    <w:rsid w:val="04601C9F"/>
    <w:rsid w:val="04A5071D"/>
    <w:rsid w:val="04AC3867"/>
    <w:rsid w:val="050235D5"/>
    <w:rsid w:val="052F7424"/>
    <w:rsid w:val="05BE5BA1"/>
    <w:rsid w:val="06E6628D"/>
    <w:rsid w:val="07340E9E"/>
    <w:rsid w:val="0765524F"/>
    <w:rsid w:val="08547225"/>
    <w:rsid w:val="08BE1A45"/>
    <w:rsid w:val="09A3244F"/>
    <w:rsid w:val="09BA61F0"/>
    <w:rsid w:val="0A482714"/>
    <w:rsid w:val="0ACD3A97"/>
    <w:rsid w:val="0B060454"/>
    <w:rsid w:val="0B313E8C"/>
    <w:rsid w:val="0C165C72"/>
    <w:rsid w:val="0CE14661"/>
    <w:rsid w:val="0CF51F62"/>
    <w:rsid w:val="0CF941A5"/>
    <w:rsid w:val="0DDB27CB"/>
    <w:rsid w:val="0DFF158C"/>
    <w:rsid w:val="0E296CE9"/>
    <w:rsid w:val="0E8920A6"/>
    <w:rsid w:val="0F2338F7"/>
    <w:rsid w:val="0F781EE2"/>
    <w:rsid w:val="0FC5052B"/>
    <w:rsid w:val="10454571"/>
    <w:rsid w:val="10BB2CA9"/>
    <w:rsid w:val="11801B1B"/>
    <w:rsid w:val="11924456"/>
    <w:rsid w:val="11B46D08"/>
    <w:rsid w:val="11DE291C"/>
    <w:rsid w:val="11F23424"/>
    <w:rsid w:val="128F44DC"/>
    <w:rsid w:val="135D2D0A"/>
    <w:rsid w:val="136D24B0"/>
    <w:rsid w:val="137B32C6"/>
    <w:rsid w:val="13B77832"/>
    <w:rsid w:val="13C95DDF"/>
    <w:rsid w:val="141B77F1"/>
    <w:rsid w:val="148F400E"/>
    <w:rsid w:val="14901B92"/>
    <w:rsid w:val="14E41E49"/>
    <w:rsid w:val="153D0A49"/>
    <w:rsid w:val="15595AF9"/>
    <w:rsid w:val="15670D36"/>
    <w:rsid w:val="15FB4CAC"/>
    <w:rsid w:val="16BA486A"/>
    <w:rsid w:val="16F23D1D"/>
    <w:rsid w:val="19000D7A"/>
    <w:rsid w:val="1A4D1AE1"/>
    <w:rsid w:val="1A5903B6"/>
    <w:rsid w:val="1A785CC6"/>
    <w:rsid w:val="1B72539B"/>
    <w:rsid w:val="1C187D9A"/>
    <w:rsid w:val="1CCC68B1"/>
    <w:rsid w:val="1CDF68ED"/>
    <w:rsid w:val="1CDF7FEB"/>
    <w:rsid w:val="1CFB16C0"/>
    <w:rsid w:val="1D0E3321"/>
    <w:rsid w:val="1D6B721E"/>
    <w:rsid w:val="1DE00C13"/>
    <w:rsid w:val="1EA06894"/>
    <w:rsid w:val="1EB53C8D"/>
    <w:rsid w:val="1EBF0E94"/>
    <w:rsid w:val="1FAE27B1"/>
    <w:rsid w:val="213D3F0E"/>
    <w:rsid w:val="227B52DA"/>
    <w:rsid w:val="22DE5658"/>
    <w:rsid w:val="242035F9"/>
    <w:rsid w:val="24871B8F"/>
    <w:rsid w:val="250C030B"/>
    <w:rsid w:val="254B46F9"/>
    <w:rsid w:val="257748B8"/>
    <w:rsid w:val="258070E1"/>
    <w:rsid w:val="261C5EBC"/>
    <w:rsid w:val="267012F7"/>
    <w:rsid w:val="26B5724B"/>
    <w:rsid w:val="270E5777"/>
    <w:rsid w:val="273E1378"/>
    <w:rsid w:val="27D83CDE"/>
    <w:rsid w:val="27F7432E"/>
    <w:rsid w:val="281F752B"/>
    <w:rsid w:val="28363598"/>
    <w:rsid w:val="28930A4A"/>
    <w:rsid w:val="28C207EC"/>
    <w:rsid w:val="28E079FB"/>
    <w:rsid w:val="29217543"/>
    <w:rsid w:val="29C3496E"/>
    <w:rsid w:val="2A682917"/>
    <w:rsid w:val="2AD00D9B"/>
    <w:rsid w:val="2AE82B97"/>
    <w:rsid w:val="2B5D375F"/>
    <w:rsid w:val="2B674FF5"/>
    <w:rsid w:val="2BA171C9"/>
    <w:rsid w:val="2C226E22"/>
    <w:rsid w:val="2C7A4260"/>
    <w:rsid w:val="2CF25CFF"/>
    <w:rsid w:val="2D5354C8"/>
    <w:rsid w:val="2DD74F9E"/>
    <w:rsid w:val="2F140088"/>
    <w:rsid w:val="2F9F5F16"/>
    <w:rsid w:val="2FA71655"/>
    <w:rsid w:val="2FE17680"/>
    <w:rsid w:val="30753DE7"/>
    <w:rsid w:val="3179362E"/>
    <w:rsid w:val="31C27911"/>
    <w:rsid w:val="328A4520"/>
    <w:rsid w:val="32AF5536"/>
    <w:rsid w:val="32E2388D"/>
    <w:rsid w:val="32E71B5D"/>
    <w:rsid w:val="33DB74FF"/>
    <w:rsid w:val="343155AF"/>
    <w:rsid w:val="34B03C90"/>
    <w:rsid w:val="351335A5"/>
    <w:rsid w:val="357F22A1"/>
    <w:rsid w:val="357F334F"/>
    <w:rsid w:val="36372DD7"/>
    <w:rsid w:val="36F367C8"/>
    <w:rsid w:val="379046B5"/>
    <w:rsid w:val="37C2791F"/>
    <w:rsid w:val="38373AC7"/>
    <w:rsid w:val="39501D74"/>
    <w:rsid w:val="395D29A2"/>
    <w:rsid w:val="39CC742D"/>
    <w:rsid w:val="39EA6C39"/>
    <w:rsid w:val="3A5D6930"/>
    <w:rsid w:val="3ADD55A6"/>
    <w:rsid w:val="3B7B66A5"/>
    <w:rsid w:val="3B8403D0"/>
    <w:rsid w:val="3C174838"/>
    <w:rsid w:val="3C235FDD"/>
    <w:rsid w:val="3C8B7826"/>
    <w:rsid w:val="3C940790"/>
    <w:rsid w:val="3D6D4FC7"/>
    <w:rsid w:val="3E0F3FB1"/>
    <w:rsid w:val="3E62452A"/>
    <w:rsid w:val="3E6647C6"/>
    <w:rsid w:val="3EC21063"/>
    <w:rsid w:val="3ECB7BB3"/>
    <w:rsid w:val="3F0243F1"/>
    <w:rsid w:val="3F647D06"/>
    <w:rsid w:val="400115F9"/>
    <w:rsid w:val="400F7043"/>
    <w:rsid w:val="40233D11"/>
    <w:rsid w:val="40525DC3"/>
    <w:rsid w:val="40A11D87"/>
    <w:rsid w:val="423F5A84"/>
    <w:rsid w:val="4262403D"/>
    <w:rsid w:val="42A11C50"/>
    <w:rsid w:val="42A718CF"/>
    <w:rsid w:val="42FA4CBC"/>
    <w:rsid w:val="43BE594D"/>
    <w:rsid w:val="440570E0"/>
    <w:rsid w:val="44416578"/>
    <w:rsid w:val="44446348"/>
    <w:rsid w:val="44BD77FE"/>
    <w:rsid w:val="458B464A"/>
    <w:rsid w:val="45F155CB"/>
    <w:rsid w:val="46150E10"/>
    <w:rsid w:val="475F6A40"/>
    <w:rsid w:val="47A1553E"/>
    <w:rsid w:val="47B32814"/>
    <w:rsid w:val="48007181"/>
    <w:rsid w:val="48DB25BB"/>
    <w:rsid w:val="48EE28B8"/>
    <w:rsid w:val="49FB09E3"/>
    <w:rsid w:val="4A262898"/>
    <w:rsid w:val="4A87260C"/>
    <w:rsid w:val="4BB154C3"/>
    <w:rsid w:val="4BE56D27"/>
    <w:rsid w:val="4C1A20B5"/>
    <w:rsid w:val="4C613C0E"/>
    <w:rsid w:val="4C744F89"/>
    <w:rsid w:val="4DA46FE5"/>
    <w:rsid w:val="4E256748"/>
    <w:rsid w:val="4E42141C"/>
    <w:rsid w:val="4E8D5B0B"/>
    <w:rsid w:val="4F434A44"/>
    <w:rsid w:val="4F8E4501"/>
    <w:rsid w:val="4FC761FB"/>
    <w:rsid w:val="506A10BA"/>
    <w:rsid w:val="5076765E"/>
    <w:rsid w:val="50A8776C"/>
    <w:rsid w:val="50DE18CA"/>
    <w:rsid w:val="50E30F02"/>
    <w:rsid w:val="50E920F8"/>
    <w:rsid w:val="519E2324"/>
    <w:rsid w:val="522C1D7C"/>
    <w:rsid w:val="524325B2"/>
    <w:rsid w:val="52F22F32"/>
    <w:rsid w:val="533B38FC"/>
    <w:rsid w:val="53CD779F"/>
    <w:rsid w:val="54752890"/>
    <w:rsid w:val="55424E00"/>
    <w:rsid w:val="55CC4FD9"/>
    <w:rsid w:val="56787622"/>
    <w:rsid w:val="57047660"/>
    <w:rsid w:val="570E7EBC"/>
    <w:rsid w:val="573D3BD4"/>
    <w:rsid w:val="57416F33"/>
    <w:rsid w:val="5755254A"/>
    <w:rsid w:val="579C6C90"/>
    <w:rsid w:val="58283FFE"/>
    <w:rsid w:val="58426A50"/>
    <w:rsid w:val="58482CDC"/>
    <w:rsid w:val="58B478E0"/>
    <w:rsid w:val="58BE6DD0"/>
    <w:rsid w:val="59242C91"/>
    <w:rsid w:val="593F4B27"/>
    <w:rsid w:val="59520970"/>
    <w:rsid w:val="5987195A"/>
    <w:rsid w:val="5A1E0D7A"/>
    <w:rsid w:val="5AE70568"/>
    <w:rsid w:val="5B122B03"/>
    <w:rsid w:val="5B8DCEB2"/>
    <w:rsid w:val="5C062E79"/>
    <w:rsid w:val="5C0662B2"/>
    <w:rsid w:val="5CA101CD"/>
    <w:rsid w:val="5CBD1466"/>
    <w:rsid w:val="5DBA1395"/>
    <w:rsid w:val="5EC10555"/>
    <w:rsid w:val="5ED1667A"/>
    <w:rsid w:val="5EDD06F9"/>
    <w:rsid w:val="5F262EC9"/>
    <w:rsid w:val="5F272FCA"/>
    <w:rsid w:val="5F3935F8"/>
    <w:rsid w:val="5F5D78D6"/>
    <w:rsid w:val="5F727500"/>
    <w:rsid w:val="5FB66E52"/>
    <w:rsid w:val="604D430C"/>
    <w:rsid w:val="60DF2AA8"/>
    <w:rsid w:val="60DF572D"/>
    <w:rsid w:val="60EB3CB4"/>
    <w:rsid w:val="60F53F89"/>
    <w:rsid w:val="61110891"/>
    <w:rsid w:val="613C65D7"/>
    <w:rsid w:val="61965CA4"/>
    <w:rsid w:val="61F256B1"/>
    <w:rsid w:val="62CA0761"/>
    <w:rsid w:val="64B53AFF"/>
    <w:rsid w:val="64D80659"/>
    <w:rsid w:val="65350A54"/>
    <w:rsid w:val="65A55A82"/>
    <w:rsid w:val="66D0070D"/>
    <w:rsid w:val="68D771CC"/>
    <w:rsid w:val="68DB2857"/>
    <w:rsid w:val="68DE3D2F"/>
    <w:rsid w:val="69510B17"/>
    <w:rsid w:val="69872354"/>
    <w:rsid w:val="69EF4727"/>
    <w:rsid w:val="6AEB7DD9"/>
    <w:rsid w:val="6B517558"/>
    <w:rsid w:val="6B9A5148"/>
    <w:rsid w:val="6C0B4B57"/>
    <w:rsid w:val="6C4C1566"/>
    <w:rsid w:val="6CF64E5A"/>
    <w:rsid w:val="6D0F7B79"/>
    <w:rsid w:val="6D685FE9"/>
    <w:rsid w:val="6D866FEE"/>
    <w:rsid w:val="6DB13CF7"/>
    <w:rsid w:val="6E410CF8"/>
    <w:rsid w:val="6EAF3FC5"/>
    <w:rsid w:val="6EDF4E7F"/>
    <w:rsid w:val="6F023DAC"/>
    <w:rsid w:val="706722ED"/>
    <w:rsid w:val="706F31EF"/>
    <w:rsid w:val="707723E9"/>
    <w:rsid w:val="71623CDF"/>
    <w:rsid w:val="71C05C19"/>
    <w:rsid w:val="72EA6F28"/>
    <w:rsid w:val="73231373"/>
    <w:rsid w:val="73582779"/>
    <w:rsid w:val="738A29C9"/>
    <w:rsid w:val="739D6F05"/>
    <w:rsid w:val="74267B0C"/>
    <w:rsid w:val="742F5357"/>
    <w:rsid w:val="743B50DA"/>
    <w:rsid w:val="75872A98"/>
    <w:rsid w:val="75D66787"/>
    <w:rsid w:val="76261D92"/>
    <w:rsid w:val="76745925"/>
    <w:rsid w:val="76930C53"/>
    <w:rsid w:val="76AE36EB"/>
    <w:rsid w:val="778E7319"/>
    <w:rsid w:val="77F357C9"/>
    <w:rsid w:val="781E4897"/>
    <w:rsid w:val="784D1174"/>
    <w:rsid w:val="790811D8"/>
    <w:rsid w:val="79680AE9"/>
    <w:rsid w:val="7A9D704E"/>
    <w:rsid w:val="7AC65BFC"/>
    <w:rsid w:val="7B4839E7"/>
    <w:rsid w:val="7C9E6226"/>
    <w:rsid w:val="7C9F6236"/>
    <w:rsid w:val="7D1A4326"/>
    <w:rsid w:val="7DB01A3C"/>
    <w:rsid w:val="7E395E6F"/>
    <w:rsid w:val="7E592AC7"/>
    <w:rsid w:val="7ED58CA0"/>
    <w:rsid w:val="CDEBB6D6"/>
    <w:rsid w:val="F6FDDF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spacing w:line="340" w:lineRule="exact"/>
      <w:outlineLvl w:val="0"/>
    </w:pPr>
    <w:rPr>
      <w:b/>
      <w:bCs/>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6"/>
    <w:qFormat/>
    <w:uiPriority w:val="0"/>
    <w:pPr>
      <w:keepNext/>
      <w:keepLines/>
      <w:spacing w:before="260" w:after="260" w:line="416" w:lineRule="auto"/>
      <w:outlineLvl w:val="2"/>
    </w:pPr>
    <w:rPr>
      <w:b/>
      <w:bCs/>
      <w:sz w:val="32"/>
      <w:szCs w:val="32"/>
    </w:rPr>
  </w:style>
  <w:style w:type="paragraph" w:styleId="7">
    <w:name w:val="heading 4"/>
    <w:basedOn w:val="1"/>
    <w:next w:val="1"/>
    <w:link w:val="97"/>
    <w:qFormat/>
    <w:uiPriority w:val="0"/>
    <w:pPr>
      <w:keepNext/>
      <w:keepLines/>
      <w:spacing w:before="280" w:after="290" w:line="376" w:lineRule="auto"/>
      <w:outlineLvl w:val="3"/>
    </w:pPr>
    <w:rPr>
      <w:rFonts w:ascii="宋体" w:hAnsi="Arial" w:eastAsia="黑体"/>
      <w:b/>
      <w:sz w:val="24"/>
      <w:szCs w:val="20"/>
    </w:rPr>
  </w:style>
  <w:style w:type="paragraph" w:styleId="8">
    <w:name w:val="heading 5"/>
    <w:basedOn w:val="1"/>
    <w:next w:val="9"/>
    <w:link w:val="69"/>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72"/>
    <w:qFormat/>
    <w:uiPriority w:val="0"/>
    <w:pPr>
      <w:keepNext/>
      <w:keepLines/>
      <w:spacing w:before="240" w:after="64" w:line="320" w:lineRule="auto"/>
      <w:outlineLvl w:val="6"/>
    </w:pPr>
    <w:rPr>
      <w:b/>
      <w:sz w:val="24"/>
      <w:szCs w:val="20"/>
    </w:rPr>
  </w:style>
  <w:style w:type="paragraph" w:styleId="12">
    <w:name w:val="heading 8"/>
    <w:basedOn w:val="1"/>
    <w:next w:val="9"/>
    <w:link w:val="75"/>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102"/>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qFormat/>
    <w:uiPriority w:val="0"/>
    <w:pPr>
      <w:autoSpaceDE w:val="0"/>
      <w:autoSpaceDN w:val="0"/>
      <w:adjustRightInd w:val="0"/>
      <w:spacing w:after="120"/>
      <w:jc w:val="left"/>
    </w:pPr>
    <w:rPr>
      <w:rFonts w:ascii="宋体"/>
      <w:kern w:val="0"/>
      <w:sz w:val="34"/>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Normal Indent"/>
    <w:basedOn w:val="1"/>
    <w:link w:val="109"/>
    <w:qFormat/>
    <w:uiPriority w:val="0"/>
    <w:pPr>
      <w:ind w:firstLine="420"/>
    </w:pPr>
    <w:rPr>
      <w:szCs w:val="20"/>
    </w:rPr>
  </w:style>
  <w:style w:type="paragraph" w:styleId="14">
    <w:name w:val="toc 7"/>
    <w:basedOn w:val="1"/>
    <w:next w:val="1"/>
    <w:unhideWhenUsed/>
    <w:qFormat/>
    <w:uiPriority w:val="0"/>
    <w:pPr>
      <w:ind w:left="1260"/>
      <w:jc w:val="left"/>
    </w:pPr>
    <w:rPr>
      <w:rFonts w:asciiTheme="minorHAnsi" w:hAnsiTheme="minorHAnsi"/>
      <w:sz w:val="18"/>
      <w:szCs w:val="18"/>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2"/>
    <w:semiHidden/>
    <w:qFormat/>
    <w:uiPriority w:val="0"/>
    <w:pPr>
      <w:shd w:val="clear" w:color="auto" w:fill="000080"/>
    </w:pPr>
  </w:style>
  <w:style w:type="paragraph" w:styleId="17">
    <w:name w:val="annotation text"/>
    <w:basedOn w:val="1"/>
    <w:link w:val="64"/>
    <w:qFormat/>
    <w:uiPriority w:val="0"/>
    <w:pPr>
      <w:jc w:val="left"/>
    </w:pPr>
  </w:style>
  <w:style w:type="paragraph" w:styleId="18">
    <w:name w:val="Body Text 3"/>
    <w:basedOn w:val="1"/>
    <w:link w:val="74"/>
    <w:qFormat/>
    <w:uiPriority w:val="0"/>
    <w:pPr>
      <w:spacing w:line="500" w:lineRule="exact"/>
    </w:pPr>
    <w:rPr>
      <w:b/>
      <w:bCs/>
      <w:kern w:val="0"/>
      <w:sz w:val="24"/>
    </w:rPr>
  </w:style>
  <w:style w:type="paragraph" w:styleId="19">
    <w:name w:val="Body Text Indent"/>
    <w:basedOn w:val="1"/>
    <w:link w:val="103"/>
    <w:qFormat/>
    <w:uiPriority w:val="0"/>
    <w:pPr>
      <w:spacing w:line="200" w:lineRule="exact"/>
      <w:ind w:firstLine="301"/>
    </w:pPr>
    <w:rPr>
      <w:rFonts w:ascii="宋体" w:hAnsi="Courier New"/>
      <w:spacing w:val="-4"/>
      <w:sz w:val="18"/>
      <w:szCs w:val="20"/>
    </w:rPr>
  </w:style>
  <w:style w:type="paragraph" w:styleId="20">
    <w:name w:val="toc 5"/>
    <w:basedOn w:val="1"/>
    <w:next w:val="1"/>
    <w:unhideWhenUsed/>
    <w:qFormat/>
    <w:uiPriority w:val="0"/>
    <w:pPr>
      <w:ind w:left="840"/>
      <w:jc w:val="left"/>
    </w:pPr>
    <w:rPr>
      <w:rFonts w:asciiTheme="minorHAnsi" w:hAnsiTheme="minorHAnsi"/>
      <w:sz w:val="18"/>
      <w:szCs w:val="18"/>
    </w:rPr>
  </w:style>
  <w:style w:type="paragraph" w:styleId="21">
    <w:name w:val="toc 3"/>
    <w:basedOn w:val="1"/>
    <w:next w:val="1"/>
    <w:unhideWhenUsed/>
    <w:qFormat/>
    <w:uiPriority w:val="0"/>
    <w:pPr>
      <w:ind w:left="420"/>
      <w:jc w:val="left"/>
    </w:pPr>
    <w:rPr>
      <w:rFonts w:asciiTheme="minorHAnsi" w:hAnsiTheme="minorHAnsi"/>
      <w:i/>
      <w:iCs/>
      <w:sz w:val="20"/>
      <w:szCs w:val="20"/>
    </w:rPr>
  </w:style>
  <w:style w:type="paragraph" w:styleId="22">
    <w:name w:val="Plain Text"/>
    <w:basedOn w:val="1"/>
    <w:link w:val="59"/>
    <w:qFormat/>
    <w:uiPriority w:val="99"/>
    <w:rPr>
      <w:rFonts w:ascii="宋体" w:hAnsi="Courier New"/>
      <w:szCs w:val="20"/>
    </w:rPr>
  </w:style>
  <w:style w:type="paragraph" w:styleId="23">
    <w:name w:val="toc 8"/>
    <w:basedOn w:val="1"/>
    <w:next w:val="1"/>
    <w:unhideWhenUsed/>
    <w:qFormat/>
    <w:uiPriority w:val="0"/>
    <w:pPr>
      <w:ind w:left="1470"/>
      <w:jc w:val="left"/>
    </w:pPr>
    <w:rPr>
      <w:rFonts w:asciiTheme="minorHAnsi" w:hAnsiTheme="minorHAnsi"/>
      <w:sz w:val="18"/>
      <w:szCs w:val="18"/>
    </w:rPr>
  </w:style>
  <w:style w:type="paragraph" w:styleId="24">
    <w:name w:val="Date"/>
    <w:basedOn w:val="1"/>
    <w:next w:val="1"/>
    <w:link w:val="79"/>
    <w:qFormat/>
    <w:uiPriority w:val="0"/>
    <w:pPr>
      <w:ind w:left="100" w:leftChars="2500"/>
    </w:pPr>
    <w:rPr>
      <w:spacing w:val="30"/>
      <w:sz w:val="28"/>
    </w:rPr>
  </w:style>
  <w:style w:type="paragraph" w:styleId="25">
    <w:name w:val="Body Text Indent 2"/>
    <w:basedOn w:val="1"/>
    <w:link w:val="84"/>
    <w:qFormat/>
    <w:uiPriority w:val="0"/>
    <w:pPr>
      <w:spacing w:line="400" w:lineRule="exact"/>
      <w:ind w:firstLine="480"/>
    </w:pPr>
  </w:style>
  <w:style w:type="paragraph" w:styleId="26">
    <w:name w:val="Balloon Text"/>
    <w:basedOn w:val="1"/>
    <w:link w:val="71"/>
    <w:qFormat/>
    <w:uiPriority w:val="0"/>
    <w:rPr>
      <w:sz w:val="18"/>
      <w:szCs w:val="18"/>
    </w:rPr>
  </w:style>
  <w:style w:type="paragraph" w:styleId="27">
    <w:name w:val="footer"/>
    <w:basedOn w:val="1"/>
    <w:link w:val="78"/>
    <w:qFormat/>
    <w:uiPriority w:val="0"/>
    <w:pPr>
      <w:tabs>
        <w:tab w:val="center" w:pos="4153"/>
        <w:tab w:val="right" w:pos="8306"/>
      </w:tabs>
      <w:snapToGrid w:val="0"/>
      <w:jc w:val="left"/>
    </w:pPr>
    <w:rPr>
      <w:rFonts w:ascii="宋体" w:hAnsi="Courier New"/>
      <w:sz w:val="18"/>
      <w:szCs w:val="20"/>
    </w:rPr>
  </w:style>
  <w:style w:type="paragraph" w:styleId="28">
    <w:name w:val="header"/>
    <w:basedOn w:val="1"/>
    <w:link w:val="80"/>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9">
    <w:name w:val="toc 1"/>
    <w:basedOn w:val="1"/>
    <w:next w:val="1"/>
    <w:unhideWhenUsed/>
    <w:qFormat/>
    <w:uiPriority w:val="39"/>
    <w:pPr>
      <w:spacing w:before="120" w:after="120"/>
      <w:jc w:val="left"/>
    </w:pPr>
    <w:rPr>
      <w:rFonts w:asciiTheme="minorHAnsi" w:hAnsiTheme="minorHAnsi"/>
      <w:b/>
      <w:bCs/>
      <w:caps/>
      <w:sz w:val="20"/>
      <w:szCs w:val="20"/>
    </w:rPr>
  </w:style>
  <w:style w:type="paragraph" w:styleId="30">
    <w:name w:val="toc 4"/>
    <w:basedOn w:val="1"/>
    <w:next w:val="1"/>
    <w:unhideWhenUsed/>
    <w:qFormat/>
    <w:uiPriority w:val="0"/>
    <w:pPr>
      <w:ind w:left="630"/>
      <w:jc w:val="left"/>
    </w:pPr>
    <w:rPr>
      <w:rFonts w:asciiTheme="minorHAnsi" w:hAnsiTheme="minorHAnsi"/>
      <w:sz w:val="18"/>
      <w:szCs w:val="18"/>
    </w:rPr>
  </w:style>
  <w:style w:type="paragraph" w:styleId="31">
    <w:name w:val="Subtitle"/>
    <w:basedOn w:val="1"/>
    <w:next w:val="1"/>
    <w:link w:val="157"/>
    <w:qFormat/>
    <w:uiPriority w:val="0"/>
    <w:pPr>
      <w:spacing w:line="312" w:lineRule="auto"/>
      <w:jc w:val="center"/>
      <w:outlineLvl w:val="1"/>
    </w:pPr>
    <w:rPr>
      <w:rFonts w:ascii="Calibri Light" w:hAnsi="Calibri Light"/>
      <w:b/>
      <w:bCs/>
      <w:kern w:val="28"/>
      <w:sz w:val="32"/>
      <w:szCs w:val="32"/>
    </w:rPr>
  </w:style>
  <w:style w:type="paragraph" w:styleId="32">
    <w:name w:val="toc 6"/>
    <w:basedOn w:val="1"/>
    <w:next w:val="1"/>
    <w:unhideWhenUsed/>
    <w:qFormat/>
    <w:uiPriority w:val="0"/>
    <w:pPr>
      <w:ind w:left="1050"/>
      <w:jc w:val="left"/>
    </w:pPr>
    <w:rPr>
      <w:rFonts w:asciiTheme="minorHAnsi" w:hAnsiTheme="minorHAnsi"/>
      <w:sz w:val="18"/>
      <w:szCs w:val="18"/>
    </w:rPr>
  </w:style>
  <w:style w:type="paragraph" w:styleId="33">
    <w:name w:val="Body Text Indent 3"/>
    <w:basedOn w:val="1"/>
    <w:link w:val="86"/>
    <w:qFormat/>
    <w:uiPriority w:val="0"/>
    <w:pPr>
      <w:spacing w:line="360" w:lineRule="auto"/>
      <w:ind w:firstLine="359" w:firstLineChars="171"/>
    </w:pPr>
  </w:style>
  <w:style w:type="paragraph" w:styleId="34">
    <w:name w:val="toc 2"/>
    <w:basedOn w:val="1"/>
    <w:next w:val="1"/>
    <w:unhideWhenUsed/>
    <w:qFormat/>
    <w:uiPriority w:val="0"/>
    <w:pPr>
      <w:ind w:left="210"/>
      <w:jc w:val="left"/>
    </w:pPr>
    <w:rPr>
      <w:rFonts w:asciiTheme="minorHAnsi" w:hAnsiTheme="minorHAnsi"/>
      <w:smallCaps/>
      <w:sz w:val="20"/>
      <w:szCs w:val="20"/>
    </w:rPr>
  </w:style>
  <w:style w:type="paragraph" w:styleId="35">
    <w:name w:val="toc 9"/>
    <w:basedOn w:val="1"/>
    <w:next w:val="1"/>
    <w:unhideWhenUsed/>
    <w:qFormat/>
    <w:uiPriority w:val="0"/>
    <w:pPr>
      <w:ind w:left="1680"/>
      <w:jc w:val="left"/>
    </w:pPr>
    <w:rPr>
      <w:rFonts w:asciiTheme="minorHAnsi" w:hAnsiTheme="minorHAnsi"/>
      <w:sz w:val="18"/>
      <w:szCs w:val="18"/>
    </w:rPr>
  </w:style>
  <w:style w:type="paragraph" w:styleId="36">
    <w:name w:val="Body Text 2"/>
    <w:basedOn w:val="1"/>
    <w:link w:val="73"/>
    <w:qFormat/>
    <w:uiPriority w:val="0"/>
    <w:pPr>
      <w:spacing w:after="120" w:line="480" w:lineRule="auto"/>
    </w:pPr>
    <w:rPr>
      <w:kern w:val="0"/>
      <w:sz w:val="20"/>
    </w:rPr>
  </w:style>
  <w:style w:type="paragraph" w:styleId="3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8">
    <w:name w:val="Normal (Web)"/>
    <w:basedOn w:val="1"/>
    <w:qFormat/>
    <w:uiPriority w:val="0"/>
    <w:pPr>
      <w:spacing w:beforeAutospacing="1" w:afterAutospacing="1"/>
      <w:jc w:val="left"/>
    </w:pPr>
    <w:rPr>
      <w:kern w:val="0"/>
      <w:sz w:val="24"/>
    </w:rPr>
  </w:style>
  <w:style w:type="paragraph" w:styleId="39">
    <w:name w:val="index 1"/>
    <w:basedOn w:val="1"/>
    <w:next w:val="1"/>
    <w:semiHidden/>
    <w:qFormat/>
    <w:uiPriority w:val="0"/>
    <w:pPr>
      <w:spacing w:line="360" w:lineRule="exact"/>
      <w:ind w:firstLine="432" w:firstLineChars="240"/>
    </w:pPr>
    <w:rPr>
      <w:rFonts w:ascii="宋体" w:hAnsi="宋体"/>
      <w:bCs/>
      <w:sz w:val="18"/>
      <w:szCs w:val="18"/>
    </w:rPr>
  </w:style>
  <w:style w:type="paragraph" w:styleId="40">
    <w:name w:val="Title"/>
    <w:basedOn w:val="1"/>
    <w:link w:val="99"/>
    <w:qFormat/>
    <w:uiPriority w:val="0"/>
    <w:pPr>
      <w:spacing w:before="240" w:after="60"/>
      <w:jc w:val="center"/>
      <w:outlineLvl w:val="0"/>
    </w:pPr>
    <w:rPr>
      <w:rFonts w:ascii="Arial" w:hAnsi="Arial" w:cs="Arial"/>
      <w:b/>
      <w:bCs/>
      <w:sz w:val="32"/>
      <w:szCs w:val="32"/>
    </w:rPr>
  </w:style>
  <w:style w:type="paragraph" w:styleId="41">
    <w:name w:val="annotation subject"/>
    <w:basedOn w:val="17"/>
    <w:next w:val="17"/>
    <w:link w:val="98"/>
    <w:unhideWhenUsed/>
    <w:qFormat/>
    <w:uiPriority w:val="0"/>
    <w:rPr>
      <w:rFonts w:ascii="Calibri" w:hAnsi="Calibri"/>
      <w:b/>
      <w:bCs/>
    </w:rPr>
  </w:style>
  <w:style w:type="paragraph" w:styleId="42">
    <w:name w:val="Body Text First Indent 2"/>
    <w:basedOn w:val="19"/>
    <w:link w:val="92"/>
    <w:qFormat/>
    <w:uiPriority w:val="0"/>
    <w:pPr>
      <w:spacing w:after="120" w:line="240" w:lineRule="auto"/>
      <w:ind w:left="420" w:leftChars="200" w:firstLine="420" w:firstLineChars="200"/>
    </w:pPr>
    <w:rPr>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style>
  <w:style w:type="character" w:styleId="50">
    <w:name w:val="Hyperlink"/>
    <w:qFormat/>
    <w:uiPriority w:val="99"/>
    <w:rPr>
      <w:color w:val="0000FF"/>
      <w:u w:val="single"/>
    </w:rPr>
  </w:style>
  <w:style w:type="character" w:styleId="51">
    <w:name w:val="annotation reference"/>
    <w:qFormat/>
    <w:uiPriority w:val="0"/>
    <w:rPr>
      <w:sz w:val="21"/>
    </w:rPr>
  </w:style>
  <w:style w:type="paragraph" w:customStyle="1" w:styleId="52">
    <w:name w:val="目录 21"/>
    <w:next w:val="1"/>
    <w:qFormat/>
    <w:uiPriority w:val="0"/>
    <w:pPr>
      <w:widowControl w:val="0"/>
      <w:spacing w:before="100" w:beforeAutospacing="1" w:after="100" w:afterAutospacing="1"/>
      <w:ind w:left="420" w:leftChars="200"/>
      <w:jc w:val="both"/>
    </w:pPr>
    <w:rPr>
      <w:rFonts w:ascii="Times New Roman" w:hAnsi="Times New Roman" w:eastAsia="宋体" w:cs="Times New Roman"/>
      <w:kern w:val="2"/>
      <w:sz w:val="21"/>
      <w:szCs w:val="24"/>
      <w:lang w:val="en-US" w:eastAsia="zh-CN" w:bidi="ar-SA"/>
    </w:rPr>
  </w:style>
  <w:style w:type="paragraph" w:customStyle="1" w:styleId="53">
    <w:name w:val="大标题"/>
    <w:basedOn w:val="1"/>
    <w:next w:val="1"/>
    <w:qFormat/>
    <w:uiPriority w:val="0"/>
    <w:pPr>
      <w:adjustRightInd w:val="0"/>
      <w:snapToGrid w:val="0"/>
      <w:spacing w:line="600" w:lineRule="exact"/>
      <w:jc w:val="center"/>
    </w:pPr>
    <w:rPr>
      <w:rFonts w:hint="eastAsia" w:ascii="Calibri" w:hAnsi="Calibri" w:eastAsia="方正小标宋_GBK"/>
      <w:sz w:val="44"/>
    </w:rPr>
  </w:style>
  <w:style w:type="paragraph" w:customStyle="1" w:styleId="54">
    <w:name w:val="标题3-2"/>
    <w:basedOn w:val="6"/>
    <w:next w:val="1"/>
    <w:qFormat/>
    <w:uiPriority w:val="0"/>
    <w:pPr>
      <w:numPr>
        <w:ilvl w:val="0"/>
        <w:numId w:val="1"/>
      </w:numPr>
      <w:tabs>
        <w:tab w:val="left" w:pos="360"/>
      </w:tabs>
      <w:spacing w:before="0" w:after="0" w:line="240" w:lineRule="auto"/>
      <w:ind w:left="0" w:firstLine="640" w:firstLineChars="200"/>
    </w:pPr>
    <w:rPr>
      <w:rFonts w:hint="eastAsia" w:ascii="Calibri" w:hAnsi="Calibri" w:eastAsia="方正仿宋_GBK"/>
      <w:bCs w:val="0"/>
      <w:szCs w:val="24"/>
    </w:rPr>
  </w:style>
  <w:style w:type="character" w:customStyle="1" w:styleId="55">
    <w:name w:val="标题 2 字符"/>
    <w:link w:val="5"/>
    <w:semiHidden/>
    <w:qFormat/>
    <w:uiPriority w:val="0"/>
    <w:rPr>
      <w:rFonts w:ascii="Arial" w:hAnsi="Arial" w:eastAsia="黑体"/>
      <w:b/>
      <w:bCs/>
      <w:kern w:val="2"/>
      <w:sz w:val="32"/>
      <w:szCs w:val="32"/>
      <w:lang w:val="en-US" w:eastAsia="zh-CN" w:bidi="ar-SA"/>
    </w:rPr>
  </w:style>
  <w:style w:type="character" w:customStyle="1" w:styleId="56">
    <w:name w:val="graytext1"/>
    <w:qFormat/>
    <w:uiPriority w:val="0"/>
    <w:rPr>
      <w:color w:val="666666"/>
    </w:rPr>
  </w:style>
  <w:style w:type="character" w:customStyle="1" w:styleId="57">
    <w:name w:val="C1 Char"/>
    <w:link w:val="58"/>
    <w:qFormat/>
    <w:uiPriority w:val="0"/>
    <w:rPr>
      <w:bCs/>
      <w:kern w:val="44"/>
      <w:sz w:val="21"/>
      <w:szCs w:val="24"/>
      <w:lang w:bidi="ar-SA"/>
    </w:rPr>
  </w:style>
  <w:style w:type="paragraph" w:customStyle="1" w:styleId="58">
    <w:name w:val="C1"/>
    <w:basedOn w:val="1"/>
    <w:link w:val="57"/>
    <w:qFormat/>
    <w:uiPriority w:val="0"/>
    <w:pPr>
      <w:spacing w:after="120" w:line="360" w:lineRule="auto"/>
      <w:ind w:firstLine="368" w:firstLineChars="175"/>
    </w:pPr>
    <w:rPr>
      <w:bCs/>
      <w:kern w:val="44"/>
    </w:rPr>
  </w:style>
  <w:style w:type="character" w:customStyle="1" w:styleId="59">
    <w:name w:val="纯文本 字符"/>
    <w:link w:val="22"/>
    <w:qFormat/>
    <w:uiPriority w:val="99"/>
    <w:rPr>
      <w:rFonts w:ascii="宋体" w:hAnsi="Courier New" w:eastAsia="宋体"/>
      <w:kern w:val="2"/>
      <w:sz w:val="21"/>
      <w:lang w:val="en-US" w:eastAsia="zh-CN" w:bidi="ar-SA"/>
    </w:rPr>
  </w:style>
  <w:style w:type="character" w:customStyle="1" w:styleId="60">
    <w:name w:val="Title3 Char"/>
    <w:qFormat/>
    <w:uiPriority w:val="0"/>
    <w:rPr>
      <w:rFonts w:ascii="宋体" w:hAnsi="Courier New" w:eastAsia="宋体" w:cs="Times New Roman"/>
      <w:b/>
      <w:bCs/>
      <w:sz w:val="32"/>
      <w:szCs w:val="32"/>
    </w:rPr>
  </w:style>
  <w:style w:type="character" w:customStyle="1" w:styleId="61">
    <w:name w:val="纯文本 字符1"/>
    <w:qFormat/>
    <w:uiPriority w:val="0"/>
    <w:rPr>
      <w:rFonts w:ascii="宋体" w:hAnsi="Courier New" w:eastAsia="宋体" w:cs="Courier New"/>
      <w:kern w:val="2"/>
      <w:sz w:val="21"/>
      <w:szCs w:val="21"/>
      <w:lang w:val="en-US" w:eastAsia="zh-CN" w:bidi="ar-SA"/>
    </w:rPr>
  </w:style>
  <w:style w:type="character" w:customStyle="1" w:styleId="62">
    <w:name w:val="正文文本 字符"/>
    <w:link w:val="2"/>
    <w:qFormat/>
    <w:uiPriority w:val="0"/>
    <w:rPr>
      <w:rFonts w:ascii="宋体" w:eastAsia="宋体"/>
      <w:sz w:val="34"/>
      <w:lang w:val="en-US" w:eastAsia="zh-CN" w:bidi="ar-SA"/>
    </w:rPr>
  </w:style>
  <w:style w:type="character" w:customStyle="1" w:styleId="63">
    <w:name w:val="style51"/>
    <w:basedOn w:val="45"/>
    <w:qFormat/>
    <w:uiPriority w:val="0"/>
  </w:style>
  <w:style w:type="character" w:customStyle="1" w:styleId="64">
    <w:name w:val="批注文字 字符"/>
    <w:link w:val="17"/>
    <w:qFormat/>
    <w:uiPriority w:val="0"/>
    <w:rPr>
      <w:rFonts w:eastAsia="宋体"/>
      <w:kern w:val="2"/>
      <w:sz w:val="21"/>
      <w:szCs w:val="24"/>
      <w:lang w:val="en-US" w:eastAsia="zh-CN" w:bidi="ar-SA"/>
    </w:rPr>
  </w:style>
  <w:style w:type="character" w:customStyle="1" w:styleId="65">
    <w:name w:val="mark"/>
    <w:basedOn w:val="45"/>
    <w:qFormat/>
    <w:uiPriority w:val="0"/>
  </w:style>
  <w:style w:type="character" w:customStyle="1" w:styleId="66">
    <w:name w:val="标题 3 字符"/>
    <w:link w:val="6"/>
    <w:qFormat/>
    <w:uiPriority w:val="9"/>
    <w:rPr>
      <w:rFonts w:eastAsia="宋体"/>
      <w:b/>
      <w:bCs/>
      <w:kern w:val="2"/>
      <w:sz w:val="32"/>
      <w:szCs w:val="32"/>
      <w:lang w:val="en-US" w:eastAsia="zh-CN" w:bidi="ar-SA"/>
    </w:rPr>
  </w:style>
  <w:style w:type="character" w:customStyle="1" w:styleId="67">
    <w:name w:val="1051"/>
    <w:qFormat/>
    <w:uiPriority w:val="0"/>
    <w:rPr>
      <w:sz w:val="21"/>
      <w:szCs w:val="21"/>
    </w:rPr>
  </w:style>
  <w:style w:type="character" w:customStyle="1" w:styleId="68">
    <w:name w:val="style54"/>
    <w:basedOn w:val="45"/>
    <w:qFormat/>
    <w:uiPriority w:val="0"/>
  </w:style>
  <w:style w:type="character" w:customStyle="1" w:styleId="69">
    <w:name w:val="标题 5 字符"/>
    <w:link w:val="8"/>
    <w:qFormat/>
    <w:uiPriority w:val="0"/>
    <w:rPr>
      <w:b/>
      <w:kern w:val="2"/>
      <w:sz w:val="28"/>
    </w:rPr>
  </w:style>
  <w:style w:type="character" w:customStyle="1" w:styleId="70">
    <w:name w:val="标题 1 字符"/>
    <w:link w:val="4"/>
    <w:qFormat/>
    <w:uiPriority w:val="0"/>
    <w:rPr>
      <w:rFonts w:eastAsia="宋体"/>
      <w:b/>
      <w:bCs/>
      <w:kern w:val="2"/>
      <w:sz w:val="21"/>
      <w:szCs w:val="24"/>
      <w:lang w:val="en-US" w:eastAsia="zh-CN" w:bidi="ar-SA"/>
    </w:rPr>
  </w:style>
  <w:style w:type="character" w:customStyle="1" w:styleId="71">
    <w:name w:val="批注框文本 字符"/>
    <w:link w:val="26"/>
    <w:semiHidden/>
    <w:qFormat/>
    <w:uiPriority w:val="0"/>
    <w:rPr>
      <w:rFonts w:eastAsia="宋体"/>
      <w:kern w:val="2"/>
      <w:sz w:val="18"/>
      <w:szCs w:val="18"/>
      <w:lang w:val="en-US" w:eastAsia="zh-CN" w:bidi="ar-SA"/>
    </w:rPr>
  </w:style>
  <w:style w:type="character" w:customStyle="1" w:styleId="72">
    <w:name w:val="标题 7 字符"/>
    <w:link w:val="11"/>
    <w:qFormat/>
    <w:uiPriority w:val="0"/>
    <w:rPr>
      <w:b/>
      <w:kern w:val="2"/>
      <w:sz w:val="24"/>
    </w:rPr>
  </w:style>
  <w:style w:type="character" w:customStyle="1" w:styleId="73">
    <w:name w:val="正文文本 2 字符"/>
    <w:link w:val="36"/>
    <w:qFormat/>
    <w:uiPriority w:val="0"/>
    <w:rPr>
      <w:szCs w:val="24"/>
      <w:lang w:bidi="ar-SA"/>
    </w:rPr>
  </w:style>
  <w:style w:type="character" w:customStyle="1" w:styleId="74">
    <w:name w:val="正文文本 3 字符"/>
    <w:link w:val="18"/>
    <w:qFormat/>
    <w:uiPriority w:val="0"/>
    <w:rPr>
      <w:b/>
      <w:bCs/>
      <w:sz w:val="24"/>
      <w:szCs w:val="24"/>
      <w:lang w:bidi="ar-SA"/>
    </w:rPr>
  </w:style>
  <w:style w:type="character" w:customStyle="1" w:styleId="75">
    <w:name w:val="标题 8 字符"/>
    <w:link w:val="12"/>
    <w:qFormat/>
    <w:uiPriority w:val="0"/>
    <w:rPr>
      <w:rFonts w:ascii="Arial" w:hAnsi="Arial" w:eastAsia="黑体"/>
      <w:kern w:val="2"/>
      <w:sz w:val="24"/>
    </w:rPr>
  </w:style>
  <w:style w:type="character" w:customStyle="1" w:styleId="76">
    <w:name w:val="1ji Char"/>
    <w:link w:val="77"/>
    <w:qFormat/>
    <w:uiPriority w:val="0"/>
    <w:rPr>
      <w:rFonts w:ascii="宋体" w:hAnsi="宋体" w:eastAsia="宋体" w:cs="Times New Roman"/>
      <w:b/>
      <w:bCs/>
      <w:kern w:val="44"/>
      <w:sz w:val="36"/>
      <w:szCs w:val="44"/>
      <w:lang w:val="en-US" w:eastAsia="zh-CN" w:bidi="ar-SA"/>
    </w:rPr>
  </w:style>
  <w:style w:type="paragraph" w:customStyle="1" w:styleId="77">
    <w:name w:val="1ji"/>
    <w:basedOn w:val="4"/>
    <w:link w:val="76"/>
    <w:qFormat/>
    <w:uiPriority w:val="0"/>
    <w:pPr>
      <w:widowControl/>
      <w:spacing w:line="240" w:lineRule="auto"/>
      <w:jc w:val="center"/>
    </w:pPr>
    <w:rPr>
      <w:rFonts w:ascii="宋体" w:hAnsi="宋体"/>
      <w:kern w:val="44"/>
      <w:sz w:val="36"/>
      <w:szCs w:val="44"/>
    </w:rPr>
  </w:style>
  <w:style w:type="character" w:customStyle="1" w:styleId="78">
    <w:name w:val="页脚 字符"/>
    <w:link w:val="27"/>
    <w:qFormat/>
    <w:uiPriority w:val="0"/>
    <w:rPr>
      <w:rFonts w:ascii="宋体" w:hAnsi="Courier New" w:eastAsia="宋体"/>
      <w:kern w:val="2"/>
      <w:sz w:val="18"/>
      <w:lang w:val="en-US" w:eastAsia="zh-CN" w:bidi="ar-SA"/>
    </w:rPr>
  </w:style>
  <w:style w:type="character" w:customStyle="1" w:styleId="79">
    <w:name w:val="日期 字符"/>
    <w:link w:val="24"/>
    <w:qFormat/>
    <w:uiPriority w:val="0"/>
    <w:rPr>
      <w:rFonts w:eastAsia="宋体"/>
      <w:spacing w:val="30"/>
      <w:kern w:val="2"/>
      <w:sz w:val="28"/>
      <w:szCs w:val="24"/>
      <w:lang w:val="en-US" w:eastAsia="zh-CN" w:bidi="ar-SA"/>
    </w:rPr>
  </w:style>
  <w:style w:type="character" w:customStyle="1" w:styleId="80">
    <w:name w:val="页眉 字符"/>
    <w:link w:val="28"/>
    <w:qFormat/>
    <w:uiPriority w:val="0"/>
    <w:rPr>
      <w:rFonts w:ascii="宋体" w:hAnsi="Courier New" w:eastAsia="宋体"/>
      <w:kern w:val="2"/>
      <w:sz w:val="18"/>
      <w:lang w:val="en-US" w:eastAsia="zh-CN" w:bidi="ar-SA"/>
    </w:rPr>
  </w:style>
  <w:style w:type="character" w:customStyle="1" w:styleId="81">
    <w:name w:val="h Char"/>
    <w:qFormat/>
    <w:uiPriority w:val="0"/>
    <w:rPr>
      <w:rFonts w:eastAsia="宋体"/>
      <w:kern w:val="2"/>
      <w:sz w:val="18"/>
      <w:szCs w:val="18"/>
      <w:lang w:val="en-US" w:eastAsia="zh-CN" w:bidi="ar-SA"/>
    </w:rPr>
  </w:style>
  <w:style w:type="character" w:customStyle="1" w:styleId="82">
    <w:name w:val="文档结构图 字符"/>
    <w:link w:val="16"/>
    <w:semiHidden/>
    <w:qFormat/>
    <w:uiPriority w:val="0"/>
    <w:rPr>
      <w:rFonts w:eastAsia="宋体"/>
      <w:kern w:val="2"/>
      <w:sz w:val="21"/>
      <w:szCs w:val="24"/>
      <w:lang w:val="en-US" w:eastAsia="zh-CN" w:bidi="ar-SA"/>
    </w:rPr>
  </w:style>
  <w:style w:type="character" w:customStyle="1" w:styleId="83">
    <w:name w:val="H2 Char"/>
    <w:qFormat/>
    <w:uiPriority w:val="0"/>
    <w:rPr>
      <w:rFonts w:ascii="Arial" w:hAnsi="Arial" w:eastAsia="黑体" w:cs="Times New Roman"/>
      <w:b/>
      <w:bCs/>
      <w:sz w:val="32"/>
      <w:szCs w:val="32"/>
    </w:rPr>
  </w:style>
  <w:style w:type="character" w:customStyle="1" w:styleId="84">
    <w:name w:val="正文文本缩进 2 字符"/>
    <w:link w:val="25"/>
    <w:qFormat/>
    <w:uiPriority w:val="0"/>
    <w:rPr>
      <w:rFonts w:eastAsia="宋体"/>
      <w:kern w:val="2"/>
      <w:sz w:val="21"/>
      <w:szCs w:val="24"/>
      <w:lang w:val="en-US" w:eastAsia="zh-CN" w:bidi="ar-SA"/>
    </w:rPr>
  </w:style>
  <w:style w:type="character" w:customStyle="1" w:styleId="85">
    <w:name w:val="ksfind_class_select"/>
    <w:basedOn w:val="45"/>
    <w:qFormat/>
    <w:uiPriority w:val="0"/>
  </w:style>
  <w:style w:type="character" w:customStyle="1" w:styleId="86">
    <w:name w:val="正文文本缩进 3 字符"/>
    <w:link w:val="33"/>
    <w:qFormat/>
    <w:uiPriority w:val="0"/>
    <w:rPr>
      <w:rFonts w:eastAsia="宋体"/>
      <w:kern w:val="2"/>
      <w:sz w:val="21"/>
      <w:szCs w:val="24"/>
      <w:lang w:val="en-US" w:eastAsia="zh-CN" w:bidi="ar-SA"/>
    </w:rPr>
  </w:style>
  <w:style w:type="character" w:customStyle="1" w:styleId="87">
    <w:name w:val="HTML 预设格式 字符"/>
    <w:link w:val="37"/>
    <w:semiHidden/>
    <w:qFormat/>
    <w:uiPriority w:val="0"/>
    <w:rPr>
      <w:rFonts w:ascii="黑体" w:hAnsi="Courier New" w:eastAsia="黑体" w:cs="Courier New"/>
      <w:lang w:val="en-US" w:eastAsia="zh-CN" w:bidi="ar-SA"/>
    </w:rPr>
  </w:style>
  <w:style w:type="character" w:customStyle="1" w:styleId="88">
    <w:name w:val="H1 Char"/>
    <w:qFormat/>
    <w:uiPriority w:val="0"/>
    <w:rPr>
      <w:rFonts w:ascii="Times New Roman" w:hAnsi="Times New Roman" w:eastAsia="宋体" w:cs="Times New Roman"/>
      <w:b/>
      <w:bCs/>
      <w:kern w:val="44"/>
      <w:sz w:val="44"/>
      <w:szCs w:val="44"/>
    </w:rPr>
  </w:style>
  <w:style w:type="character" w:customStyle="1" w:styleId="89">
    <w:name w:val="标题 6 字符"/>
    <w:link w:val="10"/>
    <w:qFormat/>
    <w:uiPriority w:val="0"/>
    <w:rPr>
      <w:rFonts w:ascii="Arial" w:hAnsi="Arial" w:eastAsia="黑体"/>
      <w:b/>
      <w:kern w:val="2"/>
      <w:sz w:val="24"/>
    </w:rPr>
  </w:style>
  <w:style w:type="character" w:customStyle="1" w:styleId="90">
    <w:name w:val="列表段落 字符"/>
    <w:link w:val="91"/>
    <w:qFormat/>
    <w:uiPriority w:val="0"/>
    <w:rPr>
      <w:rFonts w:eastAsia="宋体"/>
      <w:kern w:val="2"/>
      <w:sz w:val="21"/>
      <w:szCs w:val="24"/>
      <w:lang w:val="en-US" w:eastAsia="zh-CN" w:bidi="ar-SA"/>
    </w:rPr>
  </w:style>
  <w:style w:type="paragraph" w:styleId="91">
    <w:name w:val="List Paragraph"/>
    <w:basedOn w:val="1"/>
    <w:link w:val="90"/>
    <w:qFormat/>
    <w:uiPriority w:val="34"/>
    <w:pPr>
      <w:ind w:firstLine="420" w:firstLineChars="200"/>
    </w:pPr>
  </w:style>
  <w:style w:type="character" w:customStyle="1" w:styleId="92">
    <w:name w:val="正文文本首行缩进 2 字符"/>
    <w:link w:val="42"/>
    <w:qFormat/>
    <w:uiPriority w:val="0"/>
    <w:rPr>
      <w:rFonts w:ascii="宋体" w:hAnsi="Courier New" w:eastAsia="宋体"/>
      <w:spacing w:val="-4"/>
      <w:kern w:val="2"/>
      <w:sz w:val="18"/>
      <w:szCs w:val="24"/>
      <w:lang w:val="en-US" w:eastAsia="zh-CN" w:bidi="ar-SA"/>
    </w:rPr>
  </w:style>
  <w:style w:type="character" w:customStyle="1" w:styleId="93">
    <w:name w:val="apple-style-span"/>
    <w:basedOn w:val="45"/>
    <w:qFormat/>
    <w:uiPriority w:val="0"/>
  </w:style>
  <w:style w:type="character" w:customStyle="1" w:styleId="94">
    <w:name w:val="f141"/>
    <w:qFormat/>
    <w:uiPriority w:val="0"/>
    <w:rPr>
      <w:sz w:val="21"/>
      <w:szCs w:val="21"/>
    </w:rPr>
  </w:style>
  <w:style w:type="character" w:customStyle="1" w:styleId="95">
    <w:name w:val="Char Char2"/>
    <w:semiHidden/>
    <w:qFormat/>
    <w:uiPriority w:val="0"/>
    <w:rPr>
      <w:rFonts w:ascii="宋体" w:hAnsi="Courier New" w:eastAsia="宋体"/>
      <w:spacing w:val="-4"/>
      <w:kern w:val="2"/>
      <w:sz w:val="18"/>
      <w:lang w:val="en-US" w:eastAsia="zh-CN" w:bidi="ar-SA"/>
    </w:rPr>
  </w:style>
  <w:style w:type="character" w:customStyle="1" w:styleId="96">
    <w:name w:val="style31"/>
    <w:qFormat/>
    <w:uiPriority w:val="0"/>
    <w:rPr>
      <w:sz w:val="18"/>
      <w:szCs w:val="18"/>
    </w:rPr>
  </w:style>
  <w:style w:type="character" w:customStyle="1" w:styleId="97">
    <w:name w:val="标题 4 字符"/>
    <w:link w:val="7"/>
    <w:qFormat/>
    <w:uiPriority w:val="0"/>
    <w:rPr>
      <w:rFonts w:ascii="宋体" w:hAnsi="Arial" w:eastAsia="黑体"/>
      <w:b/>
      <w:kern w:val="2"/>
      <w:sz w:val="24"/>
    </w:rPr>
  </w:style>
  <w:style w:type="character" w:customStyle="1" w:styleId="98">
    <w:name w:val="批注主题 字符"/>
    <w:link w:val="41"/>
    <w:semiHidden/>
    <w:qFormat/>
    <w:uiPriority w:val="0"/>
    <w:rPr>
      <w:rFonts w:ascii="Calibri" w:hAnsi="Calibri" w:eastAsia="宋体"/>
      <w:b/>
      <w:bCs/>
      <w:kern w:val="2"/>
      <w:sz w:val="21"/>
      <w:szCs w:val="24"/>
      <w:lang w:val="en-US" w:eastAsia="zh-CN" w:bidi="ar-SA"/>
    </w:rPr>
  </w:style>
  <w:style w:type="character" w:customStyle="1" w:styleId="99">
    <w:name w:val="标题 字符"/>
    <w:link w:val="40"/>
    <w:qFormat/>
    <w:uiPriority w:val="0"/>
    <w:rPr>
      <w:rFonts w:ascii="Arial" w:hAnsi="Arial" w:eastAsia="宋体" w:cs="Arial"/>
      <w:b/>
      <w:bCs/>
      <w:kern w:val="2"/>
      <w:sz w:val="32"/>
      <w:szCs w:val="32"/>
      <w:lang w:val="en-US" w:eastAsia="zh-CN" w:bidi="ar-SA"/>
    </w:rPr>
  </w:style>
  <w:style w:type="character" w:customStyle="1" w:styleId="100">
    <w:name w:val="unnamed21"/>
    <w:basedOn w:val="45"/>
    <w:qFormat/>
    <w:uiPriority w:val="0"/>
  </w:style>
  <w:style w:type="character" w:customStyle="1" w:styleId="101">
    <w:name w:val="small"/>
    <w:basedOn w:val="45"/>
    <w:qFormat/>
    <w:uiPriority w:val="0"/>
  </w:style>
  <w:style w:type="character" w:customStyle="1" w:styleId="102">
    <w:name w:val="标题 9 字符"/>
    <w:link w:val="13"/>
    <w:qFormat/>
    <w:uiPriority w:val="0"/>
    <w:rPr>
      <w:rFonts w:ascii="Arial" w:hAnsi="Arial" w:eastAsia="黑体"/>
      <w:kern w:val="2"/>
      <w:sz w:val="21"/>
    </w:rPr>
  </w:style>
  <w:style w:type="character" w:customStyle="1" w:styleId="103">
    <w:name w:val="正文文本缩进 字符"/>
    <w:link w:val="19"/>
    <w:qFormat/>
    <w:uiPriority w:val="0"/>
    <w:rPr>
      <w:rFonts w:ascii="宋体" w:hAnsi="Courier New" w:eastAsia="宋体"/>
      <w:spacing w:val="-4"/>
      <w:kern w:val="2"/>
      <w:sz w:val="18"/>
      <w:lang w:val="en-US" w:eastAsia="zh-CN" w:bidi="ar-SA"/>
    </w:rPr>
  </w:style>
  <w:style w:type="character" w:customStyle="1" w:styleId="104">
    <w:name w:val="Report Text Char"/>
    <w:link w:val="105"/>
    <w:qFormat/>
    <w:uiPriority w:val="0"/>
    <w:rPr>
      <w:rFonts w:ascii="Arial" w:hAnsi="Arial" w:eastAsia="宋体" w:cs="Tahoma"/>
      <w:kern w:val="28"/>
      <w:sz w:val="22"/>
      <w:lang w:val="en-US" w:eastAsia="zh-CN" w:bidi="ar-SA"/>
    </w:rPr>
  </w:style>
  <w:style w:type="paragraph" w:customStyle="1" w:styleId="105">
    <w:name w:val="Report Text"/>
    <w:basedOn w:val="1"/>
    <w:link w:val="104"/>
    <w:qFormat/>
    <w:uiPriority w:val="0"/>
    <w:pPr>
      <w:widowControl/>
      <w:spacing w:before="240" w:after="120"/>
      <w:ind w:left="1080"/>
    </w:pPr>
    <w:rPr>
      <w:rFonts w:ascii="Arial" w:hAnsi="Arial" w:cs="Tahoma"/>
      <w:kern w:val="28"/>
      <w:sz w:val="22"/>
      <w:szCs w:val="20"/>
    </w:rPr>
  </w:style>
  <w:style w:type="character" w:customStyle="1" w:styleId="106">
    <w:name w:val="普通文字 Char Char1"/>
    <w:semiHidden/>
    <w:qFormat/>
    <w:uiPriority w:val="0"/>
    <w:rPr>
      <w:rFonts w:ascii="宋体" w:hAnsi="Courier New" w:eastAsia="宋体"/>
      <w:kern w:val="2"/>
      <w:sz w:val="21"/>
      <w:lang w:val="en-US" w:eastAsia="zh-CN" w:bidi="ar-SA"/>
    </w:rPr>
  </w:style>
  <w:style w:type="character" w:customStyle="1" w:styleId="107">
    <w:name w:val="fl ml15 b fs14 mt2 titlecont 60_230_10_60_-50_25_true"/>
    <w:basedOn w:val="45"/>
    <w:qFormat/>
    <w:uiPriority w:val="0"/>
  </w:style>
  <w:style w:type="character" w:customStyle="1" w:styleId="108">
    <w:name w:val="header odd Char Char"/>
    <w:qFormat/>
    <w:uiPriority w:val="0"/>
    <w:rPr>
      <w:rFonts w:eastAsia="宋体"/>
      <w:kern w:val="2"/>
      <w:sz w:val="18"/>
      <w:szCs w:val="18"/>
      <w:lang w:val="en-US" w:eastAsia="zh-CN" w:bidi="ar-SA"/>
    </w:rPr>
  </w:style>
  <w:style w:type="character" w:customStyle="1" w:styleId="109">
    <w:name w:val="正文缩进 字符"/>
    <w:link w:val="9"/>
    <w:qFormat/>
    <w:locked/>
    <w:uiPriority w:val="0"/>
    <w:rPr>
      <w:rFonts w:eastAsia="宋体"/>
      <w:kern w:val="2"/>
      <w:sz w:val="21"/>
      <w:lang w:val="en-US" w:eastAsia="zh-CN" w:bidi="ar-SA"/>
    </w:rPr>
  </w:style>
  <w:style w:type="paragraph" w:customStyle="1" w:styleId="110">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111">
    <w:name w:val="Char Char Char Char Char Char Char Char Char Char Char Char Char Char Char Char"/>
    <w:basedOn w:val="1"/>
    <w:qFormat/>
    <w:uiPriority w:val="0"/>
    <w:pPr>
      <w:tabs>
        <w:tab w:val="left" w:pos="360"/>
      </w:tabs>
      <w:spacing w:line="360" w:lineRule="auto"/>
      <w:ind w:left="482" w:firstLine="200" w:firstLineChars="200"/>
    </w:p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Char Char Char Char Char Char Char"/>
    <w:basedOn w:val="1"/>
    <w:qFormat/>
    <w:uiPriority w:val="0"/>
  </w:style>
  <w:style w:type="paragraph" w:customStyle="1" w:styleId="114">
    <w:name w:val="F2"/>
    <w:basedOn w:val="1"/>
    <w:qFormat/>
    <w:uiPriority w:val="0"/>
    <w:pPr>
      <w:autoSpaceDE w:val="0"/>
      <w:autoSpaceDN w:val="0"/>
      <w:adjustRightInd w:val="0"/>
      <w:ind w:firstLine="601"/>
      <w:textAlignment w:val="baseline"/>
    </w:pPr>
    <w:rPr>
      <w:kern w:val="0"/>
      <w:sz w:val="24"/>
      <w:szCs w:val="20"/>
    </w:rPr>
  </w:style>
  <w:style w:type="paragraph" w:customStyle="1" w:styleId="115">
    <w:name w:val="正文段"/>
    <w:basedOn w:val="1"/>
    <w:qFormat/>
    <w:uiPriority w:val="0"/>
    <w:pPr>
      <w:widowControl/>
      <w:snapToGrid w:val="0"/>
      <w:spacing w:afterLines="50"/>
      <w:ind w:firstLine="200" w:firstLineChars="200"/>
    </w:pPr>
    <w:rPr>
      <w:kern w:val="0"/>
      <w:sz w:val="24"/>
      <w:szCs w:val="20"/>
    </w:rPr>
  </w:style>
  <w:style w:type="paragraph" w:customStyle="1" w:styleId="116">
    <w:name w:val="Char Char Char Char Char Char Char1"/>
    <w:basedOn w:val="1"/>
    <w:qFormat/>
    <w:uiPriority w:val="0"/>
  </w:style>
  <w:style w:type="paragraph" w:customStyle="1" w:styleId="117">
    <w:name w:val="Char"/>
    <w:basedOn w:val="16"/>
    <w:qFormat/>
    <w:uiPriority w:val="0"/>
    <w:rPr>
      <w:rFonts w:ascii="Tahoma" w:hAnsi="Tahoma"/>
      <w:sz w:val="24"/>
    </w:rPr>
  </w:style>
  <w:style w:type="paragraph" w:customStyle="1" w:styleId="118">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20">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122">
    <w:name w:val="Char Char4 Char Char"/>
    <w:basedOn w:val="1"/>
    <w:qFormat/>
    <w:uiPriority w:val="0"/>
    <w:pPr>
      <w:widowControl/>
      <w:spacing w:after="160" w:line="240" w:lineRule="exact"/>
      <w:jc w:val="left"/>
    </w:pPr>
  </w:style>
  <w:style w:type="paragraph" w:customStyle="1" w:styleId="12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4">
    <w:name w:val="Char Char Char"/>
    <w:basedOn w:val="16"/>
    <w:qFormat/>
    <w:uiPriority w:val="0"/>
    <w:pPr>
      <w:shd w:val="clear" w:color="auto" w:fill="auto"/>
    </w:pPr>
    <w:rPr>
      <w:rFonts w:ascii="宋体" w:hAnsi="Calibri"/>
      <w:sz w:val="18"/>
      <w:szCs w:val="18"/>
    </w:rPr>
  </w:style>
  <w:style w:type="paragraph" w:customStyle="1" w:styleId="12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6">
    <w:name w:val="Char Char Char Char"/>
    <w:basedOn w:val="16"/>
    <w:qFormat/>
    <w:uiPriority w:val="0"/>
    <w:rPr>
      <w:rFonts w:ascii="Tahoma" w:hAnsi="Tahoma"/>
      <w:sz w:val="24"/>
    </w:rPr>
  </w:style>
  <w:style w:type="paragraph" w:customStyle="1" w:styleId="12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8">
    <w:name w:val="1"/>
    <w:basedOn w:val="1"/>
    <w:next w:val="22"/>
    <w:qFormat/>
    <w:uiPriority w:val="0"/>
    <w:rPr>
      <w:rFonts w:ascii="宋体" w:hAnsi="Courier New"/>
      <w:szCs w:val="20"/>
    </w:rPr>
  </w:style>
  <w:style w:type="paragraph" w:customStyle="1" w:styleId="129">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130">
    <w:name w:val="p0"/>
    <w:basedOn w:val="1"/>
    <w:qFormat/>
    <w:uiPriority w:val="0"/>
    <w:pPr>
      <w:widowControl/>
    </w:pPr>
    <w:rPr>
      <w:kern w:val="0"/>
      <w:szCs w:val="21"/>
    </w:rPr>
  </w:style>
  <w:style w:type="paragraph" w:customStyle="1" w:styleId="131">
    <w:name w:val="样式3"/>
    <w:basedOn w:val="2"/>
    <w:qFormat/>
    <w:uiPriority w:val="0"/>
    <w:pPr>
      <w:autoSpaceDE/>
      <w:autoSpaceDN/>
      <w:adjustRightInd/>
      <w:spacing w:line="360" w:lineRule="auto"/>
      <w:jc w:val="both"/>
    </w:pPr>
    <w:rPr>
      <w:kern w:val="2"/>
      <w:sz w:val="21"/>
      <w:szCs w:val="24"/>
    </w:rPr>
  </w:style>
  <w:style w:type="paragraph" w:customStyle="1" w:styleId="13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msolistparagraph"/>
    <w:basedOn w:val="1"/>
    <w:qFormat/>
    <w:uiPriority w:val="0"/>
    <w:pPr>
      <w:widowControl/>
      <w:ind w:firstLine="420"/>
      <w:jc w:val="left"/>
    </w:pPr>
    <w:rPr>
      <w:rFonts w:ascii="宋体" w:hAnsi="宋体" w:cs="宋体"/>
      <w:kern w:val="0"/>
      <w:sz w:val="24"/>
    </w:rPr>
  </w:style>
  <w:style w:type="paragraph" w:customStyle="1" w:styleId="13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Char1 Char Char Char Char Char Char"/>
    <w:basedOn w:val="1"/>
    <w:qFormat/>
    <w:uiPriority w:val="0"/>
    <w:rPr>
      <w:rFonts w:ascii="Tahoma" w:hAnsi="Tahoma"/>
      <w:sz w:val="24"/>
      <w:szCs w:val="20"/>
    </w:rPr>
  </w:style>
  <w:style w:type="paragraph" w:customStyle="1" w:styleId="136">
    <w:name w:val="paragraph1"/>
    <w:basedOn w:val="1"/>
    <w:qFormat/>
    <w:uiPriority w:val="0"/>
    <w:pPr>
      <w:spacing w:afterLines="20" w:line="300" w:lineRule="auto"/>
      <w:ind w:firstLine="200" w:firstLineChars="200"/>
    </w:pPr>
    <w:rPr>
      <w:sz w:val="24"/>
    </w:rPr>
  </w:style>
  <w:style w:type="paragraph" w:customStyle="1" w:styleId="1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38">
    <w:name w:val="Char1 Char Char Char Char Char Char1"/>
    <w:basedOn w:val="1"/>
    <w:qFormat/>
    <w:uiPriority w:val="0"/>
    <w:rPr>
      <w:rFonts w:ascii="Tahoma" w:hAnsi="Tahoma"/>
      <w:sz w:val="24"/>
      <w:szCs w:val="20"/>
    </w:rPr>
  </w:style>
  <w:style w:type="paragraph" w:customStyle="1" w:styleId="139">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0">
    <w:name w:val="默认段落字体 Para Char Char Char Char Char Char Char Char Char Char"/>
    <w:basedOn w:val="1"/>
    <w:qFormat/>
    <w:uiPriority w:val="0"/>
    <w:rPr>
      <w:kern w:val="0"/>
      <w:szCs w:val="20"/>
    </w:rPr>
  </w:style>
  <w:style w:type="paragraph" w:customStyle="1" w:styleId="141">
    <w:name w:val="默认段落字体 Para Char"/>
    <w:basedOn w:val="1"/>
    <w:qFormat/>
    <w:uiPriority w:val="0"/>
    <w:pPr>
      <w:adjustRightInd w:val="0"/>
      <w:spacing w:line="360" w:lineRule="auto"/>
    </w:pPr>
    <w:rPr>
      <w:kern w:val="0"/>
      <w:sz w:val="24"/>
      <w:szCs w:val="20"/>
    </w:rPr>
  </w:style>
  <w:style w:type="paragraph" w:customStyle="1" w:styleId="142">
    <w:name w:val="Char1 Char Char Char"/>
    <w:basedOn w:val="1"/>
    <w:qFormat/>
    <w:uiPriority w:val="0"/>
    <w:rPr>
      <w:rFonts w:ascii="Tahoma" w:hAnsi="Tahoma"/>
      <w:sz w:val="24"/>
      <w:szCs w:val="20"/>
    </w:rPr>
  </w:style>
  <w:style w:type="paragraph" w:customStyle="1" w:styleId="14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4">
    <w:name w:val="Char1"/>
    <w:basedOn w:val="16"/>
    <w:qFormat/>
    <w:uiPriority w:val="0"/>
    <w:rPr>
      <w:rFonts w:ascii="Tahoma" w:hAnsi="Tahoma"/>
      <w:sz w:val="24"/>
    </w:rPr>
  </w:style>
  <w:style w:type="paragraph" w:customStyle="1" w:styleId="145">
    <w:name w:val="样式1"/>
    <w:basedOn w:val="1"/>
    <w:qFormat/>
    <w:uiPriority w:val="0"/>
  </w:style>
  <w:style w:type="paragraph" w:customStyle="1" w:styleId="146">
    <w:name w:val="标记样式"/>
    <w:basedOn w:val="1"/>
    <w:qFormat/>
    <w:uiPriority w:val="0"/>
    <w:pPr>
      <w:tabs>
        <w:tab w:val="left" w:pos="0"/>
      </w:tabs>
      <w:spacing w:afterLines="50" w:line="316" w:lineRule="auto"/>
      <w:ind w:left="902" w:hanging="420"/>
    </w:pPr>
    <w:rPr>
      <w:rFonts w:ascii="Calibri" w:hAnsi="Calibri"/>
      <w:b/>
      <w:sz w:val="24"/>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1">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52">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153">
    <w:name w:val="Char Char Char Char1"/>
    <w:basedOn w:val="16"/>
    <w:qFormat/>
    <w:uiPriority w:val="0"/>
    <w:rPr>
      <w:rFonts w:ascii="Tahoma" w:hAnsi="Tahoma"/>
      <w:sz w:val="24"/>
    </w:rPr>
  </w:style>
  <w:style w:type="character" w:customStyle="1" w:styleId="154">
    <w:name w:val="Char Char9"/>
    <w:qFormat/>
    <w:uiPriority w:val="0"/>
    <w:rPr>
      <w:rFonts w:ascii="Calibri" w:hAnsi="Calibri" w:eastAsia="宋体" w:cs="Times New Roman"/>
      <w:kern w:val="2"/>
      <w:sz w:val="18"/>
      <w:szCs w:val="18"/>
      <w:lang w:val="en-US" w:eastAsia="zh-CN" w:bidi="ar-SA"/>
    </w:rPr>
  </w:style>
  <w:style w:type="character" w:customStyle="1" w:styleId="155">
    <w:name w:val="正文文本缩进 2 Char1"/>
    <w:qFormat/>
    <w:uiPriority w:val="0"/>
    <w:rPr>
      <w:rFonts w:eastAsia="宋体"/>
      <w:kern w:val="2"/>
      <w:sz w:val="32"/>
      <w:lang w:val="en-US" w:eastAsia="zh-CN" w:bidi="ar-SA"/>
    </w:rPr>
  </w:style>
  <w:style w:type="character" w:customStyle="1" w:styleId="156">
    <w:name w:val="纯文本 Char1"/>
    <w:qFormat/>
    <w:uiPriority w:val="0"/>
    <w:rPr>
      <w:rFonts w:ascii="宋体" w:hAnsi="Courier New" w:eastAsia="宋体"/>
      <w:kern w:val="2"/>
      <w:sz w:val="21"/>
      <w:lang w:val="en-US" w:eastAsia="zh-CN" w:bidi="ar-SA"/>
    </w:rPr>
  </w:style>
  <w:style w:type="character" w:customStyle="1" w:styleId="157">
    <w:name w:val="副标题 字符"/>
    <w:basedOn w:val="45"/>
    <w:link w:val="31"/>
    <w:qFormat/>
    <w:uiPriority w:val="0"/>
    <w:rPr>
      <w:rFonts w:ascii="Calibri Light" w:hAnsi="Calibri Light"/>
      <w:b/>
      <w:bCs/>
      <w:kern w:val="28"/>
      <w:sz w:val="32"/>
      <w:szCs w:val="32"/>
    </w:rPr>
  </w:style>
  <w:style w:type="paragraph" w:customStyle="1" w:styleId="158">
    <w:name w:val="正文缩进1"/>
    <w:basedOn w:val="1"/>
    <w:qFormat/>
    <w:uiPriority w:val="99"/>
    <w:pPr>
      <w:widowControl/>
      <w:ind w:firstLine="510"/>
    </w:pPr>
    <w:rPr>
      <w:rFonts w:ascii="宋体"/>
      <w:sz w:val="24"/>
      <w:szCs w:val="20"/>
    </w:rPr>
  </w:style>
  <w:style w:type="paragraph" w:customStyle="1" w:styleId="15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6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6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6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64">
    <w:name w:val="标题1"/>
    <w:basedOn w:val="40"/>
    <w:qFormat/>
    <w:uiPriority w:val="0"/>
    <w:pPr>
      <w:adjustRightInd w:val="0"/>
      <w:snapToGrid w:val="0"/>
      <w:spacing w:after="240" w:line="560" w:lineRule="exact"/>
      <w:ind w:firstLine="640" w:firstLineChars="200"/>
    </w:pPr>
    <w:rPr>
      <w:rFonts w:eastAsia="方正仿宋_GBK" w:cs="Times New Roman"/>
      <w:bCs w:val="0"/>
      <w:spacing w:val="2"/>
      <w:sz w:val="44"/>
      <w:szCs w:val="20"/>
    </w:rPr>
  </w:style>
  <w:style w:type="character" w:customStyle="1" w:styleId="165">
    <w:name w:val="font11"/>
    <w:basedOn w:val="45"/>
    <w:qFormat/>
    <w:uiPriority w:val="0"/>
    <w:rPr>
      <w:rFonts w:hint="eastAsia" w:ascii="方正仿宋_GBK" w:hAnsi="方正仿宋_GBK" w:eastAsia="方正仿宋_GBK" w:cs="方正仿宋_GBK"/>
      <w:color w:val="000000"/>
      <w:sz w:val="21"/>
      <w:szCs w:val="21"/>
      <w:u w:val="none"/>
    </w:rPr>
  </w:style>
  <w:style w:type="character" w:customStyle="1" w:styleId="166">
    <w:name w:val="font31"/>
    <w:basedOn w:val="45"/>
    <w:qFormat/>
    <w:uiPriority w:val="0"/>
    <w:rPr>
      <w:rFonts w:hint="eastAsia" w:ascii="方正仿宋_GBK" w:hAnsi="方正仿宋_GBK" w:eastAsia="方正仿宋_GBK" w:cs="方正仿宋_GBK"/>
      <w:color w:val="000000"/>
      <w:sz w:val="20"/>
      <w:szCs w:val="20"/>
      <w:u w:val="none"/>
    </w:rPr>
  </w:style>
  <w:style w:type="character" w:customStyle="1" w:styleId="167">
    <w:name w:val="font21"/>
    <w:basedOn w:val="45"/>
    <w:qFormat/>
    <w:uiPriority w:val="0"/>
    <w:rPr>
      <w:rFonts w:hint="eastAsia" w:ascii="方正仿宋_GBK" w:hAnsi="方正仿宋_GBK" w:eastAsia="方正仿宋_GBK" w:cs="方正仿宋_GBK"/>
      <w:color w:val="000000"/>
      <w:sz w:val="21"/>
      <w:szCs w:val="21"/>
      <w:u w:val="none"/>
    </w:rPr>
  </w:style>
  <w:style w:type="paragraph" w:customStyle="1" w:styleId="168">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69">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正文格式"/>
    <w:basedOn w:val="1"/>
    <w:qFormat/>
    <w:uiPriority w:val="0"/>
    <w:pPr>
      <w:spacing w:before="50" w:beforeLines="50" w:after="50" w:afterLines="50" w:line="360" w:lineRule="auto"/>
    </w:pPr>
    <w:rPr>
      <w:rFonts w:asciiTheme="minorHAnsi" w:hAnsiTheme="minorHAnsi" w:eastAsiaTheme="minorEastAsia"/>
    </w:rPr>
  </w:style>
  <w:style w:type="paragraph" w:customStyle="1" w:styleId="171">
    <w:name w:val="正文1"/>
    <w:basedOn w:val="1"/>
    <w:qFormat/>
    <w:uiPriority w:val="0"/>
    <w:pPr>
      <w:spacing w:line="480" w:lineRule="exact"/>
      <w:ind w:firstLine="567" w:firstLineChars="200"/>
    </w:pPr>
    <w:rPr>
      <w:rFonts w:ascii="仿宋" w:hAnsi="仿宋" w:eastAsia="仿宋_GB2312"/>
      <w:kern w:val="0"/>
      <w:sz w:val="28"/>
      <w:szCs w:val="20"/>
    </w:rPr>
  </w:style>
  <w:style w:type="paragraph" w:customStyle="1" w:styleId="172">
    <w:name w:val="Normal_1_1"/>
    <w:qFormat/>
    <w:uiPriority w:val="0"/>
    <w:pPr>
      <w:spacing w:before="120" w:after="240"/>
      <w:jc w:val="both"/>
    </w:pPr>
    <w:rPr>
      <w:rFonts w:ascii="Times New Roman" w:hAnsi="Times New Roman" w:eastAsia="Calibri" w:cs="Times New Roman"/>
      <w:sz w:val="22"/>
      <w:szCs w:val="22"/>
      <w:lang w:val="en-US" w:eastAsia="en-US" w:bidi="ar-SA"/>
    </w:rPr>
  </w:style>
  <w:style w:type="character" w:customStyle="1" w:styleId="173">
    <w:name w:val="font41"/>
    <w:basedOn w:val="45"/>
    <w:qFormat/>
    <w:uiPriority w:val="0"/>
    <w:rPr>
      <w:rFonts w:hint="eastAsia" w:ascii="宋体" w:hAnsi="宋体" w:eastAsia="宋体" w:cs="宋体"/>
      <w:b/>
      <w:bCs/>
      <w:color w:val="000000"/>
      <w:sz w:val="22"/>
      <w:szCs w:val="22"/>
      <w:u w:val="none"/>
    </w:rPr>
  </w:style>
  <w:style w:type="character" w:customStyle="1" w:styleId="174">
    <w:name w:val="font81"/>
    <w:basedOn w:val="45"/>
    <w:qFormat/>
    <w:uiPriority w:val="0"/>
    <w:rPr>
      <w:rFonts w:hint="eastAsia" w:ascii="宋体" w:hAnsi="宋体" w:eastAsia="宋体" w:cs="宋体"/>
      <w:color w:val="000000"/>
      <w:sz w:val="22"/>
      <w:szCs w:val="22"/>
      <w:u w:val="none"/>
    </w:rPr>
  </w:style>
  <w:style w:type="character" w:customStyle="1" w:styleId="175">
    <w:name w:val="font71"/>
    <w:basedOn w:val="45"/>
    <w:qFormat/>
    <w:uiPriority w:val="0"/>
    <w:rPr>
      <w:rFonts w:hint="eastAsia" w:ascii="宋体" w:hAnsi="宋体" w:eastAsia="宋体" w:cs="宋体"/>
      <w:color w:val="FFFFFF"/>
      <w:sz w:val="21"/>
      <w:szCs w:val="21"/>
      <w:u w:val="none"/>
    </w:rPr>
  </w:style>
  <w:style w:type="character" w:customStyle="1" w:styleId="176">
    <w:name w:val="font51"/>
    <w:basedOn w:val="45"/>
    <w:qFormat/>
    <w:uiPriority w:val="0"/>
    <w:rPr>
      <w:rFonts w:hint="eastAsia" w:ascii="宋体" w:hAnsi="宋体" w:eastAsia="宋体" w:cs="宋体"/>
      <w:color w:val="000000"/>
      <w:sz w:val="22"/>
      <w:szCs w:val="22"/>
      <w:u w:val="none"/>
    </w:rPr>
  </w:style>
  <w:style w:type="character" w:customStyle="1" w:styleId="177">
    <w:name w:val="font91"/>
    <w:basedOn w:val="45"/>
    <w:qFormat/>
    <w:uiPriority w:val="0"/>
    <w:rPr>
      <w:rFonts w:hint="eastAsia" w:ascii="宋体" w:hAnsi="宋体" w:eastAsia="宋体" w:cs="宋体"/>
      <w:color w:val="FFFFFF"/>
      <w:sz w:val="21"/>
      <w:szCs w:val="21"/>
      <w:u w:val="none"/>
    </w:rPr>
  </w:style>
  <w:style w:type="paragraph" w:customStyle="1" w:styleId="17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79">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80">
    <w:name w:val="font01"/>
    <w:basedOn w:val="45"/>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E12BA-4D64-4837-BDFD-BA6FFC672E40}">
  <ds:schemaRefs/>
</ds:datastoreItem>
</file>

<file path=docProps/app.xml><?xml version="1.0" encoding="utf-8"?>
<Properties xmlns="http://schemas.openxmlformats.org/officeDocument/2006/extended-properties" xmlns:vt="http://schemas.openxmlformats.org/officeDocument/2006/docPropsVTypes">
  <Company>kwzb</Company>
  <Pages>35</Pages>
  <Words>3077</Words>
  <Characters>17542</Characters>
  <Lines>146</Lines>
  <Paragraphs>41</Paragraphs>
  <TotalTime>180</TotalTime>
  <ScaleCrop>false</ScaleCrop>
  <LinksUpToDate>false</LinksUpToDate>
  <CharactersWithSpaces>20578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2023-06-20T02:23:00Z</dcterms:created>
  <dc:creator>LZH</dc:creator>
  <cp:lastModifiedBy>广西北部湾银行</cp:lastModifiedBy>
  <cp:lastPrinted>2023-04-07T17:53:00Z</cp:lastPrinted>
  <dcterms:modified xsi:type="dcterms:W3CDTF">2024-09-19T06:58:12Z</dcterms:modified>
  <dc:title>广西科文招标有限公司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EEB04B3D6361437CB707D0E77CE15D60</vt:lpwstr>
  </property>
</Properties>
</file>